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639"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8"/>
        <w:gridCol w:w="2410"/>
        <w:gridCol w:w="2260"/>
        <w:gridCol w:w="2551"/>
      </w:tblGrid>
      <w:tr w:rsidR="004E5E25" w:rsidRPr="001A0A44" w14:paraId="6BCD95D8" w14:textId="327CDB83" w:rsidTr="00AE1605">
        <w:trPr>
          <w:trHeight w:val="2334"/>
        </w:trPr>
        <w:tc>
          <w:tcPr>
            <w:tcW w:w="2418" w:type="dxa"/>
          </w:tcPr>
          <w:p w14:paraId="1435B781" w14:textId="0E6B2B3D" w:rsidR="005E0B89" w:rsidRPr="001A0A44" w:rsidRDefault="009873A6" w:rsidP="009873A6">
            <w:pPr>
              <w:jc w:val="both"/>
              <w:rPr>
                <w:rFonts w:cs="Cambria"/>
                <w:i/>
                <w:color w:val="0070C2"/>
              </w:rPr>
            </w:pPr>
            <w:bookmarkStart w:id="0" w:name="_GoBack"/>
            <w:bookmarkEnd w:id="0"/>
            <w:r w:rsidRPr="005E0B89">
              <w:rPr>
                <w:noProof/>
                <w:lang w:eastAsia="fr-FR"/>
              </w:rPr>
              <w:drawing>
                <wp:inline distT="0" distB="0" distL="0" distR="0" wp14:anchorId="4066718B" wp14:editId="351EA5AF">
                  <wp:extent cx="1143322" cy="1203518"/>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1174416" cy="1236249"/>
                          </a:xfrm>
                          <a:prstGeom prst="rect">
                            <a:avLst/>
                          </a:prstGeom>
                          <a:noFill/>
                          <a:ln w="9525">
                            <a:noFill/>
                            <a:miter lim="800000"/>
                            <a:headEnd/>
                            <a:tailEnd/>
                          </a:ln>
                        </pic:spPr>
                      </pic:pic>
                    </a:graphicData>
                  </a:graphic>
                </wp:inline>
              </w:drawing>
            </w:r>
          </w:p>
        </w:tc>
        <w:tc>
          <w:tcPr>
            <w:tcW w:w="2410" w:type="dxa"/>
          </w:tcPr>
          <w:p w14:paraId="63E849DC" w14:textId="082C07CB" w:rsidR="005E0B89" w:rsidRDefault="005E0B89" w:rsidP="00AE0FCC">
            <w:pPr>
              <w:rPr>
                <w:noProof/>
                <w:lang w:eastAsia="fr-FR"/>
              </w:rPr>
            </w:pPr>
          </w:p>
          <w:p w14:paraId="6602351D" w14:textId="315D9A25" w:rsidR="005E0B89" w:rsidRDefault="005E0B89" w:rsidP="00AE0FCC">
            <w:pPr>
              <w:rPr>
                <w:noProof/>
                <w:lang w:eastAsia="fr-FR"/>
              </w:rPr>
            </w:pPr>
          </w:p>
          <w:p w14:paraId="5980221A" w14:textId="7D554E9F" w:rsidR="004172FD" w:rsidRDefault="009873A6" w:rsidP="00AE0FCC">
            <w:pPr>
              <w:rPr>
                <w:noProof/>
                <w:lang w:eastAsia="fr-FR"/>
              </w:rPr>
            </w:pPr>
            <w:r w:rsidRPr="00022235">
              <w:rPr>
                <w:noProof/>
                <w:lang w:eastAsia="fr-FR"/>
              </w:rPr>
              <w:drawing>
                <wp:inline distT="0" distB="0" distL="0" distR="0" wp14:anchorId="6DD7CB03" wp14:editId="0A941BD1">
                  <wp:extent cx="1393190" cy="334645"/>
                  <wp:effectExtent l="0" t="0" r="38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3190" cy="334645"/>
                          </a:xfrm>
                          <a:prstGeom prst="rect">
                            <a:avLst/>
                          </a:prstGeom>
                        </pic:spPr>
                      </pic:pic>
                    </a:graphicData>
                  </a:graphic>
                </wp:inline>
              </w:drawing>
            </w:r>
            <w:r w:rsidR="00AE1605">
              <w:rPr>
                <w:noProof/>
                <w:lang w:eastAsia="fr-FR"/>
              </w:rPr>
              <w:t xml:space="preserve">           </w:t>
            </w:r>
          </w:p>
          <w:p w14:paraId="1111F6AA" w14:textId="4002E7D6" w:rsidR="005E0B89" w:rsidRDefault="005E0B89" w:rsidP="005E0B89">
            <w:pPr>
              <w:jc w:val="center"/>
              <w:rPr>
                <w:noProof/>
                <w:lang w:eastAsia="fr-FR"/>
              </w:rPr>
            </w:pPr>
          </w:p>
          <w:p w14:paraId="79308490" w14:textId="68F22C6B" w:rsidR="005E0B89" w:rsidRDefault="005E0B89" w:rsidP="00AE0FCC">
            <w:pPr>
              <w:rPr>
                <w:noProof/>
                <w:lang w:eastAsia="fr-FR"/>
              </w:rPr>
            </w:pPr>
          </w:p>
          <w:p w14:paraId="0E823ACB" w14:textId="4D6B0F8A" w:rsidR="005E0B89" w:rsidRPr="005E0B89" w:rsidRDefault="005E0B89" w:rsidP="005E0B89">
            <w:pPr>
              <w:jc w:val="center"/>
              <w:rPr>
                <w:noProof/>
                <w:lang w:eastAsia="fr-FR"/>
              </w:rPr>
            </w:pPr>
          </w:p>
        </w:tc>
        <w:tc>
          <w:tcPr>
            <w:tcW w:w="2260" w:type="dxa"/>
          </w:tcPr>
          <w:p w14:paraId="74218BDE" w14:textId="2543F43C" w:rsidR="004172FD" w:rsidRDefault="004172FD" w:rsidP="00AE0FCC">
            <w:pPr>
              <w:rPr>
                <w:rFonts w:cs="Cambria"/>
                <w:i/>
                <w:color w:val="0070C2"/>
              </w:rPr>
            </w:pPr>
          </w:p>
          <w:p w14:paraId="693AC188" w14:textId="77777777" w:rsidR="00AE1605" w:rsidRDefault="00AE1605" w:rsidP="00AE0FCC">
            <w:pPr>
              <w:rPr>
                <w:rFonts w:cs="Cambria"/>
                <w:i/>
                <w:color w:val="0070C2"/>
              </w:rPr>
            </w:pPr>
          </w:p>
          <w:p w14:paraId="22B36653" w14:textId="54CD7628" w:rsidR="005E0B89" w:rsidRDefault="009873A6" w:rsidP="00AE1605">
            <w:pPr>
              <w:tabs>
                <w:tab w:val="right" w:pos="2044"/>
              </w:tabs>
              <w:jc w:val="center"/>
              <w:rPr>
                <w:rFonts w:cs="Cambria"/>
                <w:i/>
                <w:color w:val="0070C2"/>
              </w:rPr>
            </w:pPr>
            <w:r w:rsidRPr="00022235">
              <w:rPr>
                <w:rFonts w:cs="Cambria"/>
                <w:i/>
                <w:noProof/>
                <w:color w:val="0070C2"/>
                <w:lang w:eastAsia="fr-FR"/>
              </w:rPr>
              <w:drawing>
                <wp:inline distT="0" distB="0" distL="0" distR="0" wp14:anchorId="56414CC8" wp14:editId="222B78C3">
                  <wp:extent cx="524648" cy="524648"/>
                  <wp:effectExtent l="0" t="0" r="889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4648" cy="524648"/>
                          </a:xfrm>
                          <a:prstGeom prst="rect">
                            <a:avLst/>
                          </a:prstGeom>
                        </pic:spPr>
                      </pic:pic>
                    </a:graphicData>
                  </a:graphic>
                </wp:inline>
              </w:drawing>
            </w:r>
          </w:p>
          <w:p w14:paraId="41C63527" w14:textId="2DF11051" w:rsidR="005E0B89" w:rsidRPr="005E0B89" w:rsidRDefault="005E0B89" w:rsidP="005E0B89">
            <w:pPr>
              <w:jc w:val="center"/>
              <w:rPr>
                <w:rFonts w:cs="Cambria"/>
                <w:i/>
                <w:color w:val="0070C2"/>
              </w:rPr>
            </w:pPr>
          </w:p>
        </w:tc>
        <w:tc>
          <w:tcPr>
            <w:tcW w:w="2551" w:type="dxa"/>
          </w:tcPr>
          <w:p w14:paraId="21DB2E44" w14:textId="77777777" w:rsidR="005E0B89" w:rsidRDefault="005E0B89" w:rsidP="00AE0FCC">
            <w:pPr>
              <w:rPr>
                <w:rFonts w:cs="Cambria"/>
                <w:i/>
                <w:color w:val="0070C2"/>
              </w:rPr>
            </w:pPr>
          </w:p>
          <w:p w14:paraId="1BA57ADE" w14:textId="435E12B8" w:rsidR="005E0B89" w:rsidRDefault="005E0B89" w:rsidP="00AE1605">
            <w:pPr>
              <w:rPr>
                <w:rFonts w:cs="Cambria"/>
                <w:i/>
                <w:color w:val="0070C2"/>
              </w:rPr>
            </w:pPr>
          </w:p>
          <w:p w14:paraId="5B2F8832" w14:textId="0A8BF6C2" w:rsidR="005E0B89" w:rsidRDefault="00AE1605" w:rsidP="005E0B89">
            <w:pPr>
              <w:jc w:val="center"/>
              <w:rPr>
                <w:rFonts w:cs="Cambria"/>
                <w:i/>
                <w:color w:val="0070C2"/>
              </w:rPr>
            </w:pPr>
            <w:r w:rsidRPr="005E0B89">
              <w:rPr>
                <w:rFonts w:cs="Cambria"/>
                <w:i/>
                <w:noProof/>
                <w:color w:val="0070C2"/>
                <w:lang w:eastAsia="fr-FR"/>
              </w:rPr>
              <w:drawing>
                <wp:inline distT="0" distB="0" distL="0" distR="0" wp14:anchorId="3686344A" wp14:editId="5590BD1E">
                  <wp:extent cx="1456902" cy="366607"/>
                  <wp:effectExtent l="0" t="0" r="0" b="0"/>
                  <wp:docPr id="8" name="Image 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10"/>
                          <a:stretch>
                            <a:fillRect/>
                          </a:stretch>
                        </pic:blipFill>
                        <pic:spPr>
                          <a:xfrm>
                            <a:off x="0" y="0"/>
                            <a:ext cx="1508105" cy="379491"/>
                          </a:xfrm>
                          <a:prstGeom prst="rect">
                            <a:avLst/>
                          </a:prstGeom>
                        </pic:spPr>
                      </pic:pic>
                    </a:graphicData>
                  </a:graphic>
                </wp:inline>
              </w:drawing>
            </w:r>
          </w:p>
          <w:p w14:paraId="4988D834" w14:textId="77777777" w:rsidR="005E0B89" w:rsidRDefault="005E0B89" w:rsidP="00AE0FCC">
            <w:pPr>
              <w:rPr>
                <w:rFonts w:cs="Cambria"/>
                <w:i/>
                <w:color w:val="0070C2"/>
              </w:rPr>
            </w:pPr>
          </w:p>
          <w:p w14:paraId="7AFE0A0D" w14:textId="366759A3" w:rsidR="005E0B89" w:rsidRPr="005E0B89" w:rsidRDefault="005E0B89" w:rsidP="00AE0FCC">
            <w:pPr>
              <w:rPr>
                <w:rFonts w:cs="Cambria"/>
                <w:i/>
                <w:color w:val="0070C2"/>
              </w:rPr>
            </w:pPr>
          </w:p>
        </w:tc>
      </w:tr>
    </w:tbl>
    <w:p w14:paraId="60860EC8" w14:textId="77777777" w:rsidR="00AE1605" w:rsidRDefault="00AE1605" w:rsidP="00E276A0">
      <w:pPr>
        <w:spacing w:before="60" w:after="120" w:line="276" w:lineRule="auto"/>
        <w:jc w:val="both"/>
        <w:rPr>
          <w:rFonts w:ascii="Trebuchet MS" w:hAnsi="Trebuchet MS"/>
          <w:b/>
        </w:rPr>
      </w:pPr>
    </w:p>
    <w:p w14:paraId="0D84675B" w14:textId="77777777" w:rsidR="00AE1605" w:rsidRDefault="00AE1605" w:rsidP="00AE1605">
      <w:pPr>
        <w:spacing w:after="0"/>
        <w:ind w:right="11"/>
        <w:jc w:val="center"/>
        <w:rPr>
          <w:rFonts w:cs="Cambria"/>
          <w:color w:val="0070C2"/>
          <w:sz w:val="48"/>
          <w:szCs w:val="48"/>
        </w:rPr>
      </w:pPr>
      <w:r w:rsidRPr="001A0A44">
        <w:rPr>
          <w:rFonts w:cs="Cambria"/>
          <w:color w:val="0070C2"/>
          <w:sz w:val="48"/>
          <w:szCs w:val="48"/>
        </w:rPr>
        <w:t>15</w:t>
      </w:r>
      <w:r>
        <w:rPr>
          <w:rFonts w:cs="Cambria"/>
          <w:color w:val="0070C2"/>
          <w:sz w:val="31"/>
          <w:szCs w:val="31"/>
          <w:vertAlign w:val="superscript"/>
        </w:rPr>
        <w:t xml:space="preserve">e </w:t>
      </w:r>
      <w:r w:rsidRPr="001A0A44">
        <w:rPr>
          <w:rFonts w:cs="Cambria"/>
          <w:color w:val="0070C2"/>
          <w:sz w:val="48"/>
          <w:szCs w:val="48"/>
        </w:rPr>
        <w:t xml:space="preserve">colloque </w:t>
      </w:r>
      <w:r>
        <w:rPr>
          <w:rFonts w:cs="Cambria"/>
          <w:color w:val="0070C2"/>
          <w:sz w:val="48"/>
          <w:szCs w:val="48"/>
        </w:rPr>
        <w:t>PROBLEMA</w:t>
      </w:r>
      <w:r>
        <w:rPr>
          <w:rFonts w:cs="Cambria"/>
          <w:i/>
          <w:color w:val="0070C2"/>
          <w:sz w:val="40"/>
          <w:szCs w:val="40"/>
        </w:rPr>
        <w:t xml:space="preserve"> Saint-Lô</w:t>
      </w:r>
      <w:r w:rsidRPr="00A423CA">
        <w:rPr>
          <w:rFonts w:cs="Cambria"/>
          <w:i/>
          <w:color w:val="0070C2"/>
          <w:sz w:val="40"/>
          <w:szCs w:val="40"/>
        </w:rPr>
        <w:t>,</w:t>
      </w:r>
      <w:r>
        <w:rPr>
          <w:rFonts w:cs="Cambria"/>
          <w:i/>
          <w:color w:val="0070C2"/>
          <w:sz w:val="40"/>
          <w:szCs w:val="40"/>
        </w:rPr>
        <w:t xml:space="preserve"> 16-19 mai</w:t>
      </w:r>
      <w:r w:rsidRPr="00A423CA">
        <w:rPr>
          <w:rFonts w:cs="Cambria"/>
          <w:i/>
          <w:color w:val="0070C2"/>
          <w:sz w:val="40"/>
          <w:szCs w:val="40"/>
        </w:rPr>
        <w:t xml:space="preserve"> </w:t>
      </w:r>
      <w:r>
        <w:rPr>
          <w:rFonts w:cs="Cambria"/>
          <w:i/>
          <w:color w:val="0070C2"/>
          <w:sz w:val="40"/>
          <w:szCs w:val="40"/>
        </w:rPr>
        <w:t>2018</w:t>
      </w:r>
    </w:p>
    <w:p w14:paraId="11F20A5E" w14:textId="77777777" w:rsidR="00AE1605" w:rsidRDefault="00AE1605" w:rsidP="00E276A0">
      <w:pPr>
        <w:spacing w:before="60" w:after="120" w:line="276" w:lineRule="auto"/>
        <w:jc w:val="both"/>
        <w:rPr>
          <w:rFonts w:ascii="Trebuchet MS" w:hAnsi="Trebuchet MS"/>
          <w:b/>
        </w:rPr>
      </w:pPr>
    </w:p>
    <w:p w14:paraId="71775755" w14:textId="77777777" w:rsidR="007368BB" w:rsidRPr="00C77082" w:rsidRDefault="007368BB" w:rsidP="007368BB">
      <w:pPr>
        <w:numPr>
          <w:ilvl w:val="0"/>
          <w:numId w:val="2"/>
        </w:numPr>
        <w:suppressAutoHyphens/>
        <w:spacing w:before="60" w:after="120" w:line="276" w:lineRule="auto"/>
        <w:jc w:val="both"/>
        <w:rPr>
          <w:b/>
        </w:rPr>
      </w:pPr>
      <w:r w:rsidRPr="00C77082">
        <w:rPr>
          <w:b/>
        </w:rPr>
        <w:t>Le réseau PROBLEMA</w:t>
      </w:r>
    </w:p>
    <w:p w14:paraId="5FBF36E0" w14:textId="5FF9176A" w:rsidR="007368BB" w:rsidRPr="005E0B89" w:rsidRDefault="007368BB" w:rsidP="005E0B89">
      <w:pPr>
        <w:widowControl w:val="0"/>
        <w:jc w:val="both"/>
        <w:rPr>
          <w:color w:val="000000"/>
        </w:rPr>
      </w:pPr>
      <w:r w:rsidRPr="00C77082">
        <w:rPr>
          <w:color w:val="000000"/>
        </w:rPr>
        <w:t>PROBLEMA est un réseau international francophone consacré aux recherches sur la problématisation en éducation et en formation. Il</w:t>
      </w:r>
      <w:r w:rsidR="00F10ED9" w:rsidRPr="00C77082">
        <w:rPr>
          <w:color w:val="000000"/>
        </w:rPr>
        <w:t xml:space="preserve"> réunit des enseignants-</w:t>
      </w:r>
      <w:r w:rsidRPr="00C77082">
        <w:rPr>
          <w:color w:val="000000"/>
        </w:rPr>
        <w:t>chercheurs de plusieurs universités : Nantes, Bordeaux, Caen, Lille 3 (France) ; Porto (Portugal), Rhodes (Grèce), Trois-Rivières (Québec), ULB (Belgique).</w:t>
      </w:r>
      <w:r w:rsidR="001A0A44" w:rsidRPr="001A0A44">
        <w:rPr>
          <w:noProof/>
          <w:lang w:eastAsia="fr-FR"/>
        </w:rPr>
        <w:t xml:space="preserve"> </w:t>
      </w:r>
    </w:p>
    <w:p w14:paraId="45A91893" w14:textId="55E85FF8" w:rsidR="007368BB" w:rsidRPr="00C77082" w:rsidRDefault="007368BB" w:rsidP="007368BB">
      <w:pPr>
        <w:numPr>
          <w:ilvl w:val="0"/>
          <w:numId w:val="2"/>
        </w:numPr>
        <w:suppressAutoHyphens/>
        <w:spacing w:before="60" w:after="120" w:line="276" w:lineRule="auto"/>
        <w:jc w:val="both"/>
        <w:rPr>
          <w:b/>
        </w:rPr>
      </w:pPr>
      <w:r w:rsidRPr="00C77082">
        <w:rPr>
          <w:b/>
        </w:rPr>
        <w:t>Texte d’orientation du 15</w:t>
      </w:r>
      <w:r w:rsidRPr="00C77082">
        <w:rPr>
          <w:b/>
          <w:vertAlign w:val="superscript"/>
        </w:rPr>
        <w:t>ème</w:t>
      </w:r>
      <w:r w:rsidRPr="00C77082">
        <w:rPr>
          <w:b/>
        </w:rPr>
        <w:t xml:space="preserve"> colloque </w:t>
      </w:r>
    </w:p>
    <w:p w14:paraId="55615E5D" w14:textId="1EEF1F75" w:rsidR="007368BB" w:rsidRPr="00C77082" w:rsidRDefault="00EB003F" w:rsidP="008934FE">
      <w:pPr>
        <w:widowControl w:val="0"/>
        <w:jc w:val="both"/>
        <w:rPr>
          <w:color w:val="000000"/>
        </w:rPr>
      </w:pPr>
      <w:r w:rsidRPr="00C77082">
        <w:rPr>
          <w:color w:val="000000"/>
        </w:rPr>
        <w:t xml:space="preserve">Au cours des deux dernières sessions du colloque Probléma, les notions de cadre et de malentendu scolaire ont été mises au travail du point de vue de la problématisation. </w:t>
      </w:r>
      <w:r w:rsidR="00876B38" w:rsidRPr="00C77082">
        <w:rPr>
          <w:color w:val="000000"/>
        </w:rPr>
        <w:t>Ce 15</w:t>
      </w:r>
      <w:r w:rsidR="00876B38" w:rsidRPr="00C77082">
        <w:rPr>
          <w:color w:val="000000"/>
          <w:vertAlign w:val="superscript"/>
        </w:rPr>
        <w:t>e</w:t>
      </w:r>
      <w:r w:rsidR="001E2B38" w:rsidRPr="00C77082">
        <w:rPr>
          <w:color w:val="000000"/>
        </w:rPr>
        <w:t xml:space="preserve"> </w:t>
      </w:r>
      <w:r w:rsidR="00876B38" w:rsidRPr="00C77082">
        <w:rPr>
          <w:color w:val="000000"/>
        </w:rPr>
        <w:t xml:space="preserve">colloque s’inscrit dans cette continuité tout en restant aussi ouvert aux travaux mobilisant le cadre de l’apprentissage par problématisation dans </w:t>
      </w:r>
      <w:r w:rsidR="00013BAC">
        <w:rPr>
          <w:color w:val="000000"/>
        </w:rPr>
        <w:t>d’autres</w:t>
      </w:r>
      <w:r w:rsidR="00F10ED9" w:rsidRPr="00C77082">
        <w:rPr>
          <w:color w:val="000000"/>
        </w:rPr>
        <w:t xml:space="preserve"> </w:t>
      </w:r>
      <w:r w:rsidR="00876B38" w:rsidRPr="00C77082">
        <w:rPr>
          <w:color w:val="000000"/>
        </w:rPr>
        <w:t>perspective</w:t>
      </w:r>
      <w:r w:rsidR="00013BAC">
        <w:rPr>
          <w:color w:val="000000"/>
        </w:rPr>
        <w:t>s</w:t>
      </w:r>
      <w:r w:rsidR="00876B38" w:rsidRPr="00C77082">
        <w:rPr>
          <w:color w:val="000000"/>
        </w:rPr>
        <w:t xml:space="preserve">. </w:t>
      </w:r>
    </w:p>
    <w:p w14:paraId="2A879241" w14:textId="7A101AA3" w:rsidR="008934FE" w:rsidRPr="00C77082" w:rsidRDefault="007368BB" w:rsidP="008934FE">
      <w:pPr>
        <w:widowControl w:val="0"/>
        <w:jc w:val="both"/>
        <w:rPr>
          <w:color w:val="000000"/>
        </w:rPr>
      </w:pPr>
      <w:r w:rsidRPr="00C77082">
        <w:rPr>
          <w:color w:val="000000"/>
        </w:rPr>
        <w:t>En</w:t>
      </w:r>
      <w:r w:rsidR="00EB003F" w:rsidRPr="00C77082">
        <w:rPr>
          <w:color w:val="000000"/>
        </w:rPr>
        <w:t xml:space="preserve"> sociologie des apprentissages (laboratoire ESCOL), </w:t>
      </w:r>
      <w:r w:rsidR="00876B38" w:rsidRPr="00C77082">
        <w:rPr>
          <w:color w:val="000000"/>
        </w:rPr>
        <w:t>les</w:t>
      </w:r>
      <w:r w:rsidR="00EB003F" w:rsidRPr="00C77082">
        <w:rPr>
          <w:color w:val="000000"/>
        </w:rPr>
        <w:t xml:space="preserve"> notions </w:t>
      </w:r>
      <w:r w:rsidR="00876B38" w:rsidRPr="00C77082">
        <w:rPr>
          <w:color w:val="000000"/>
        </w:rPr>
        <w:t xml:space="preserve">de cadre et de malentendu </w:t>
      </w:r>
      <w:r w:rsidR="00C34405" w:rsidRPr="00C77082">
        <w:rPr>
          <w:color w:val="000000"/>
        </w:rPr>
        <w:t xml:space="preserve">visent à rendre </w:t>
      </w:r>
      <w:r w:rsidR="00EB003F" w:rsidRPr="00C77082">
        <w:rPr>
          <w:color w:val="000000"/>
        </w:rPr>
        <w:t>raison de la persistance</w:t>
      </w:r>
      <w:r w:rsidR="00557CE6" w:rsidRPr="00C77082">
        <w:rPr>
          <w:color w:val="000000"/>
        </w:rPr>
        <w:t>,</w:t>
      </w:r>
      <w:r w:rsidR="00EB003F" w:rsidRPr="00C77082">
        <w:rPr>
          <w:color w:val="000000"/>
        </w:rPr>
        <w:t xml:space="preserve"> voire du développement</w:t>
      </w:r>
      <w:r w:rsidR="00557CE6" w:rsidRPr="00C77082">
        <w:rPr>
          <w:color w:val="000000"/>
        </w:rPr>
        <w:t>,</w:t>
      </w:r>
      <w:r w:rsidR="00EB003F" w:rsidRPr="00C77082">
        <w:rPr>
          <w:color w:val="000000"/>
        </w:rPr>
        <w:t xml:space="preserve"> des inégalités scolaires par l’examen de</w:t>
      </w:r>
      <w:r w:rsidR="00557CE6" w:rsidRPr="00C77082">
        <w:rPr>
          <w:color w:val="000000"/>
        </w:rPr>
        <w:t>s actes et des dispositifs d’enseignement</w:t>
      </w:r>
      <w:r w:rsidR="002041D7" w:rsidRPr="00C77082">
        <w:rPr>
          <w:color w:val="000000"/>
        </w:rPr>
        <w:t xml:space="preserve">. Ils identifient notamment deux mécanismes </w:t>
      </w:r>
      <w:r w:rsidR="00557CE6" w:rsidRPr="00C77082">
        <w:rPr>
          <w:color w:val="000000"/>
        </w:rPr>
        <w:t>de production</w:t>
      </w:r>
      <w:r w:rsidR="002041D7" w:rsidRPr="00C77082">
        <w:rPr>
          <w:color w:val="000000"/>
        </w:rPr>
        <w:t xml:space="preserve"> des inégalités scolaires dans les pratiques enseignantes. D’une part, la </w:t>
      </w:r>
      <w:r w:rsidR="00EB003F" w:rsidRPr="00C77082">
        <w:rPr>
          <w:color w:val="000000"/>
        </w:rPr>
        <w:t xml:space="preserve">différenciation des tâches </w:t>
      </w:r>
      <w:r w:rsidR="002041D7" w:rsidRPr="00C77082">
        <w:rPr>
          <w:color w:val="000000"/>
        </w:rPr>
        <w:t>en fonction des élèves conduirait à un dénivellement des attentes qui laisserait les élèves les plus fragiles scolairement dans des tâches à faible potentialité d</w:t>
      </w:r>
      <w:r w:rsidR="000208FE" w:rsidRPr="00C77082">
        <w:rPr>
          <w:color w:val="000000"/>
        </w:rPr>
        <w:t xml:space="preserve">’appropriation </w:t>
      </w:r>
      <w:r w:rsidR="002041D7" w:rsidRPr="00C77082">
        <w:rPr>
          <w:color w:val="000000"/>
        </w:rPr>
        <w:t>des savoirs. D’autre part, le développement de</w:t>
      </w:r>
      <w:r w:rsidR="000208FE" w:rsidRPr="00C77082">
        <w:rPr>
          <w:color w:val="000000"/>
        </w:rPr>
        <w:t>s</w:t>
      </w:r>
      <w:r w:rsidR="002041D7" w:rsidRPr="00C77082">
        <w:rPr>
          <w:color w:val="000000"/>
        </w:rPr>
        <w:t xml:space="preserve"> pédagogies </w:t>
      </w:r>
      <w:r w:rsidR="006877F3" w:rsidRPr="00C77082">
        <w:rPr>
          <w:color w:val="000000"/>
        </w:rPr>
        <w:t xml:space="preserve">actives mal maîtrisées </w:t>
      </w:r>
      <w:r w:rsidR="00C77082">
        <w:rPr>
          <w:color w:val="000000"/>
        </w:rPr>
        <w:t>mettrai</w:t>
      </w:r>
      <w:r w:rsidR="002041D7" w:rsidRPr="00C77082">
        <w:rPr>
          <w:color w:val="000000"/>
        </w:rPr>
        <w:t xml:space="preserve">t davantage en difficulté les élèves les plus </w:t>
      </w:r>
      <w:r w:rsidR="000208FE" w:rsidRPr="00C77082">
        <w:rPr>
          <w:color w:val="000000"/>
        </w:rPr>
        <w:t>éloignés des pratiques littéraciées nécessaires aux apprentissages scolaires</w:t>
      </w:r>
      <w:r w:rsidR="003043C1" w:rsidRPr="00C77082">
        <w:rPr>
          <w:color w:val="000000"/>
        </w:rPr>
        <w:t>.</w:t>
      </w:r>
      <w:r w:rsidR="008934FE" w:rsidRPr="00C77082">
        <w:rPr>
          <w:color w:val="000000"/>
        </w:rPr>
        <w:t xml:space="preserve"> </w:t>
      </w:r>
    </w:p>
    <w:p w14:paraId="3FB9AD32" w14:textId="6EE14075" w:rsidR="00A175F9" w:rsidRPr="00C77082" w:rsidRDefault="00A175F9" w:rsidP="008934FE">
      <w:pPr>
        <w:widowControl w:val="0"/>
        <w:jc w:val="both"/>
        <w:rPr>
          <w:color w:val="000000"/>
        </w:rPr>
      </w:pPr>
      <w:r w:rsidRPr="00C77082">
        <w:rPr>
          <w:color w:val="000000"/>
        </w:rPr>
        <w:t xml:space="preserve">Dans ces travaux, les mécanismes ainsi mis au jour sont pensés comme le résultat d’écarts entre les logiques sociales et les logiques d’apprentissage : </w:t>
      </w:r>
      <w:r w:rsidR="00BF43ED" w:rsidRPr="00BF43ED">
        <w:rPr>
          <w:color w:val="000000"/>
        </w:rPr>
        <w:t>les élèves dont les références socioculturelles sont les plus éloignées de celles de l’école ne distingueraient pas toujours ces deux logiques</w:t>
      </w:r>
      <w:r w:rsidR="00013BAC">
        <w:rPr>
          <w:color w:val="000000"/>
        </w:rPr>
        <w:t>,</w:t>
      </w:r>
      <w:r w:rsidR="00BF43ED" w:rsidRPr="00BF43ED">
        <w:rPr>
          <w:color w:val="000000"/>
        </w:rPr>
        <w:t xml:space="preserve"> </w:t>
      </w:r>
      <w:r w:rsidRPr="00C77082">
        <w:rPr>
          <w:color w:val="000000"/>
        </w:rPr>
        <w:t xml:space="preserve">ce qui serait à l’origine des malentendus. </w:t>
      </w:r>
      <w:r w:rsidR="00BF43ED">
        <w:rPr>
          <w:color w:val="000000"/>
        </w:rPr>
        <w:t>L</w:t>
      </w:r>
      <w:r w:rsidR="00557CE6" w:rsidRPr="00C77082">
        <w:rPr>
          <w:color w:val="000000"/>
        </w:rPr>
        <w:t xml:space="preserve">es cadres de ces élèves </w:t>
      </w:r>
      <w:r w:rsidR="000208FE" w:rsidRPr="00C77082">
        <w:rPr>
          <w:color w:val="000000"/>
        </w:rPr>
        <w:t xml:space="preserve">resteraient </w:t>
      </w:r>
      <w:r w:rsidR="00557CE6" w:rsidRPr="00C77082">
        <w:rPr>
          <w:color w:val="000000"/>
        </w:rPr>
        <w:t>différents des cadres de la discipline scolaire dans lesquels rentreraient au contraire les élèves en réussite scolaire</w:t>
      </w:r>
      <w:r w:rsidR="000208FE" w:rsidRPr="00C77082">
        <w:rPr>
          <w:color w:val="000000"/>
        </w:rPr>
        <w:t>, ce que révélerait notamment le passage du primaire au secondaire</w:t>
      </w:r>
      <w:r w:rsidR="00557CE6" w:rsidRPr="00C77082">
        <w:rPr>
          <w:color w:val="000000"/>
        </w:rPr>
        <w:t>.</w:t>
      </w:r>
      <w:r w:rsidR="00390CB8" w:rsidRPr="00C77082">
        <w:rPr>
          <w:color w:val="000000"/>
        </w:rPr>
        <w:t xml:space="preserve"> Aussi, dans l’approche sociologique, une façon de limiter les malentendus serait de rendre l’enseignement plus explicite. </w:t>
      </w:r>
      <w:r w:rsidR="000208FE" w:rsidRPr="00C77082">
        <w:rPr>
          <w:color w:val="000000"/>
        </w:rPr>
        <w:t xml:space="preserve">Mais une explicitation des savoirs trop </w:t>
      </w:r>
      <w:r w:rsidR="000D33F3" w:rsidRPr="00C77082">
        <w:rPr>
          <w:color w:val="000000"/>
        </w:rPr>
        <w:t>poussée</w:t>
      </w:r>
      <w:r w:rsidR="000208FE" w:rsidRPr="00C77082">
        <w:rPr>
          <w:color w:val="000000"/>
        </w:rPr>
        <w:t xml:space="preserve"> ne risque-</w:t>
      </w:r>
      <w:r w:rsidR="00E276A0">
        <w:rPr>
          <w:color w:val="000000"/>
        </w:rPr>
        <w:t>t-</w:t>
      </w:r>
      <w:r w:rsidR="000208FE" w:rsidRPr="00C77082">
        <w:rPr>
          <w:color w:val="000000"/>
        </w:rPr>
        <w:t xml:space="preserve">elle pas de laisser peu de place à la problématisation ? </w:t>
      </w:r>
      <w:r w:rsidR="007B3974" w:rsidRPr="00C77082">
        <w:rPr>
          <w:color w:val="000000"/>
        </w:rPr>
        <w:t>Ce</w:t>
      </w:r>
      <w:r w:rsidR="007B3974">
        <w:rPr>
          <w:color w:val="000000"/>
        </w:rPr>
        <w:t xml:space="preserve">tte </w:t>
      </w:r>
      <w:r w:rsidR="00BF43ED">
        <w:rPr>
          <w:color w:val="000000"/>
        </w:rPr>
        <w:t>dernière</w:t>
      </w:r>
      <w:r w:rsidR="000208FE" w:rsidRPr="00C77082">
        <w:rPr>
          <w:color w:val="000000"/>
        </w:rPr>
        <w:t xml:space="preserve"> serait alors à la charge personnelle de chaque élève, créant ainsi les conditions d’une certaine différenciation passive</w:t>
      </w:r>
      <w:r w:rsidR="00985240">
        <w:rPr>
          <w:color w:val="000000"/>
        </w:rPr>
        <w:t>.</w:t>
      </w:r>
      <w:r w:rsidR="000208FE" w:rsidRPr="00C77082">
        <w:rPr>
          <w:color w:val="000000"/>
        </w:rPr>
        <w:t xml:space="preserve"> Que faut-il alors rendre explicite et que faut-il laisser caché, et dans quelle temporalité, pour aider tous les élèves à accéder à des savoirs problématisés ?</w:t>
      </w:r>
    </w:p>
    <w:p w14:paraId="002D1FA8" w14:textId="0EA3D1B2" w:rsidR="00FA3C75" w:rsidRPr="00C77082" w:rsidRDefault="00390CB8" w:rsidP="008934FE">
      <w:pPr>
        <w:widowControl w:val="0"/>
        <w:jc w:val="both"/>
        <w:rPr>
          <w:color w:val="000000"/>
        </w:rPr>
      </w:pPr>
      <w:r w:rsidRPr="00C77082">
        <w:rPr>
          <w:color w:val="000000"/>
        </w:rPr>
        <w:t>Par ailleurs</w:t>
      </w:r>
      <w:r w:rsidR="00C70084" w:rsidRPr="00C77082">
        <w:rPr>
          <w:color w:val="000000"/>
        </w:rPr>
        <w:t xml:space="preserve">, ces études sociologiques s’inscrivent dans des normes différentes </w:t>
      </w:r>
      <w:r w:rsidR="00BF43ED">
        <w:rPr>
          <w:color w:val="000000"/>
        </w:rPr>
        <w:t xml:space="preserve">de </w:t>
      </w:r>
      <w:r w:rsidR="00BF43ED" w:rsidRPr="00BF43ED">
        <w:rPr>
          <w:color w:val="000000"/>
        </w:rPr>
        <w:t xml:space="preserve">celles mobilisées dans les études didactiques </w:t>
      </w:r>
      <w:r w:rsidR="00BF43ED">
        <w:rPr>
          <w:color w:val="000000"/>
        </w:rPr>
        <w:t>par</w:t>
      </w:r>
      <w:r w:rsidR="00BF43ED" w:rsidRPr="00C77082">
        <w:rPr>
          <w:color w:val="000000"/>
        </w:rPr>
        <w:t xml:space="preserve"> </w:t>
      </w:r>
      <w:r w:rsidR="00C70084" w:rsidRPr="00C77082">
        <w:rPr>
          <w:color w:val="000000"/>
        </w:rPr>
        <w:t xml:space="preserve">problématisation. </w:t>
      </w:r>
      <w:r w:rsidR="00BF43ED">
        <w:rPr>
          <w:color w:val="000000"/>
        </w:rPr>
        <w:t>L</w:t>
      </w:r>
      <w:r w:rsidR="00C70084" w:rsidRPr="00C77082">
        <w:rPr>
          <w:color w:val="000000"/>
        </w:rPr>
        <w:t>’évalua</w:t>
      </w:r>
      <w:r w:rsidR="00557CE6" w:rsidRPr="00C77082">
        <w:rPr>
          <w:color w:val="000000"/>
        </w:rPr>
        <w:t>tion des inégalités scolaires s’y</w:t>
      </w:r>
      <w:r w:rsidR="00C70084" w:rsidRPr="00C77082">
        <w:rPr>
          <w:color w:val="000000"/>
        </w:rPr>
        <w:t xml:space="preserve"> fait en référence aux résultats scolaires des élèves, </w:t>
      </w:r>
      <w:r w:rsidR="00A175F9" w:rsidRPr="00C77082">
        <w:rPr>
          <w:color w:val="000000"/>
        </w:rPr>
        <w:t>et à l’écart entre les activités attendues par les enseignants et les activités effectives des élèves. Sous cet angle, la discipline scolaire constitue le cadre de référence de ces études, et les causes des inégalités résideraient soit dans l’absence de travail au niveau réel des attentes, soit dans l’</w:t>
      </w:r>
      <w:r w:rsidR="00B3053B" w:rsidRPr="00C77082">
        <w:rPr>
          <w:color w:val="000000"/>
        </w:rPr>
        <w:t>absence d’un enseignement explicite de ces attentes</w:t>
      </w:r>
      <w:r w:rsidR="00557CE6" w:rsidRPr="00C77082">
        <w:rPr>
          <w:color w:val="000000"/>
        </w:rPr>
        <w:t xml:space="preserve"> (notamment par cadrage inadapté – au sens de </w:t>
      </w:r>
      <w:r w:rsidR="00557CE6" w:rsidRPr="00C77082">
        <w:rPr>
          <w:color w:val="000000"/>
        </w:rPr>
        <w:lastRenderedPageBreak/>
        <w:t>Bernstein – de la part des enseignants)</w:t>
      </w:r>
      <w:r w:rsidR="00B3053B" w:rsidRPr="00C77082">
        <w:rPr>
          <w:color w:val="000000"/>
        </w:rPr>
        <w:t>.</w:t>
      </w:r>
      <w:r w:rsidRPr="00C77082">
        <w:rPr>
          <w:color w:val="000000"/>
        </w:rPr>
        <w:t xml:space="preserve"> </w:t>
      </w:r>
      <w:r w:rsidR="00A175F9" w:rsidRPr="00C77082">
        <w:rPr>
          <w:color w:val="000000"/>
        </w:rPr>
        <w:t>D</w:t>
      </w:r>
      <w:r w:rsidR="00C70084" w:rsidRPr="00C77082">
        <w:rPr>
          <w:color w:val="000000"/>
        </w:rPr>
        <w:t xml:space="preserve">u point </w:t>
      </w:r>
      <w:r w:rsidR="00A175F9" w:rsidRPr="00C77082">
        <w:rPr>
          <w:color w:val="000000"/>
        </w:rPr>
        <w:t xml:space="preserve">de vue </w:t>
      </w:r>
      <w:r w:rsidR="00C70084" w:rsidRPr="00C77082">
        <w:rPr>
          <w:color w:val="000000"/>
        </w:rPr>
        <w:t xml:space="preserve">de la problématisation, la </w:t>
      </w:r>
      <w:r w:rsidR="00A175F9" w:rsidRPr="00C77082">
        <w:rPr>
          <w:color w:val="000000"/>
        </w:rPr>
        <w:t>norme</w:t>
      </w:r>
      <w:r w:rsidR="00C70084" w:rsidRPr="00C77082">
        <w:rPr>
          <w:color w:val="000000"/>
        </w:rPr>
        <w:t xml:space="preserve"> est d’abord épistémologique et renvoie au champ des savoirs et des pratiques de référence.</w:t>
      </w:r>
      <w:r w:rsidR="00A175F9" w:rsidRPr="00C77082">
        <w:rPr>
          <w:color w:val="000000"/>
        </w:rPr>
        <w:t xml:space="preserve"> </w:t>
      </w:r>
      <w:r w:rsidR="00D50950" w:rsidRPr="00C77082">
        <w:rPr>
          <w:color w:val="000000"/>
        </w:rPr>
        <w:t xml:space="preserve">Dès lors, si dans cette approche </w:t>
      </w:r>
      <w:r w:rsidR="00557CE6" w:rsidRPr="00C77082">
        <w:rPr>
          <w:color w:val="000000"/>
        </w:rPr>
        <w:t xml:space="preserve">on s’intéresse aussi aux malentendus et aux cadres, on ne les envisage pas de la même manière. </w:t>
      </w:r>
      <w:r w:rsidR="00320FC8" w:rsidRPr="00C77082">
        <w:rPr>
          <w:color w:val="000000"/>
        </w:rPr>
        <w:t>Notamment</w:t>
      </w:r>
      <w:r w:rsidR="00FA3C75" w:rsidRPr="00C77082">
        <w:rPr>
          <w:color w:val="000000"/>
        </w:rPr>
        <w:t>, l’apprentissage par problématisation accorde une importance particulière à la nature de l’activité développée par les élèves (</w:t>
      </w:r>
      <w:r w:rsidR="00BF43ED">
        <w:rPr>
          <w:color w:val="000000"/>
        </w:rPr>
        <w:t xml:space="preserve">par exemple </w:t>
      </w:r>
      <w:r w:rsidR="00FA3C75" w:rsidRPr="00C77082">
        <w:rPr>
          <w:color w:val="000000"/>
        </w:rPr>
        <w:t xml:space="preserve">une activité de nature scientifique) et </w:t>
      </w:r>
      <w:r w:rsidR="000D33F3" w:rsidRPr="00C77082">
        <w:rPr>
          <w:color w:val="000000"/>
        </w:rPr>
        <w:t>beaucoup moins</w:t>
      </w:r>
      <w:r w:rsidR="00FA3C75" w:rsidRPr="00C77082">
        <w:rPr>
          <w:color w:val="000000"/>
        </w:rPr>
        <w:t xml:space="preserve"> à son résultat, ni à des indices de surfaces de cette activité.</w:t>
      </w:r>
      <w:r w:rsidRPr="00C77082">
        <w:rPr>
          <w:color w:val="000000"/>
        </w:rPr>
        <w:t xml:space="preserve"> </w:t>
      </w:r>
      <w:r w:rsidR="00FA3C75" w:rsidRPr="00C77082">
        <w:rPr>
          <w:color w:val="000000"/>
        </w:rPr>
        <w:t>Et, pour permettre ce type d’activité, le choix du problème posé apparaît essentiel. Ainsi, comment l’analyse de l’activité des élèves avec le cadre de la problématisation permet-</w:t>
      </w:r>
      <w:r w:rsidR="00E276A0">
        <w:rPr>
          <w:color w:val="000000"/>
        </w:rPr>
        <w:t>elle</w:t>
      </w:r>
      <w:r w:rsidR="00E276A0" w:rsidRPr="00C77082">
        <w:rPr>
          <w:color w:val="000000"/>
        </w:rPr>
        <w:t xml:space="preserve"> </w:t>
      </w:r>
      <w:r w:rsidR="00FA3C75" w:rsidRPr="00C77082">
        <w:rPr>
          <w:color w:val="000000"/>
        </w:rPr>
        <w:t>de renseigner la question des malentendus scolaires ?</w:t>
      </w:r>
    </w:p>
    <w:p w14:paraId="2DCB389A" w14:textId="69AFE6C8" w:rsidR="00214B40" w:rsidRPr="00C77082" w:rsidRDefault="00FA3C75" w:rsidP="008934FE">
      <w:pPr>
        <w:widowControl w:val="0"/>
        <w:jc w:val="both"/>
        <w:rPr>
          <w:color w:val="000000"/>
        </w:rPr>
      </w:pPr>
      <w:r w:rsidRPr="00C77082">
        <w:rPr>
          <w:rStyle w:val="Marquedecommentaire"/>
          <w:sz w:val="22"/>
          <w:szCs w:val="22"/>
        </w:rPr>
        <w:t xml:space="preserve"> </w:t>
      </w:r>
      <w:r w:rsidR="00557CE6" w:rsidRPr="00C77082">
        <w:rPr>
          <w:color w:val="000000"/>
        </w:rPr>
        <w:t xml:space="preserve">Le colloque vise à documenter les écarts entre ces deux approches pour </w:t>
      </w:r>
      <w:r w:rsidR="00214B40" w:rsidRPr="00C77082">
        <w:rPr>
          <w:color w:val="000000"/>
        </w:rPr>
        <w:t>penser</w:t>
      </w:r>
      <w:r w:rsidR="00557CE6" w:rsidRPr="00C77082">
        <w:rPr>
          <w:color w:val="000000"/>
        </w:rPr>
        <w:t xml:space="preserve"> ces objets (cadres et malentendus)</w:t>
      </w:r>
      <w:r w:rsidRPr="00C77082">
        <w:rPr>
          <w:color w:val="000000"/>
        </w:rPr>
        <w:t xml:space="preserve">. Cela </w:t>
      </w:r>
      <w:r w:rsidR="00214B40" w:rsidRPr="00C77082">
        <w:rPr>
          <w:color w:val="000000"/>
        </w:rPr>
        <w:t>peut être appréhendé à travers différents axes :</w:t>
      </w:r>
    </w:p>
    <w:p w14:paraId="6847415D" w14:textId="3EBB74B9" w:rsidR="00214B40" w:rsidRPr="00C77082" w:rsidRDefault="00013BAC" w:rsidP="00175ABD">
      <w:pPr>
        <w:pStyle w:val="Paragraphedeliste"/>
        <w:widowControl w:val="0"/>
        <w:numPr>
          <w:ilvl w:val="0"/>
          <w:numId w:val="3"/>
        </w:numPr>
        <w:jc w:val="both"/>
        <w:rPr>
          <w:color w:val="000000"/>
        </w:rPr>
      </w:pPr>
      <w:r>
        <w:rPr>
          <w:color w:val="000000"/>
        </w:rPr>
        <w:t>l</w:t>
      </w:r>
      <w:r w:rsidRPr="00C77082">
        <w:rPr>
          <w:color w:val="000000"/>
        </w:rPr>
        <w:t xml:space="preserve">’exploration </w:t>
      </w:r>
      <w:r w:rsidR="00214B40" w:rsidRPr="00C77082">
        <w:rPr>
          <w:color w:val="000000"/>
        </w:rPr>
        <w:t>de ce qui peut être explicite du point de vue de la problématisation</w:t>
      </w:r>
      <w:r w:rsidR="00C77082">
        <w:rPr>
          <w:color w:val="000000"/>
        </w:rPr>
        <w:t>,</w:t>
      </w:r>
    </w:p>
    <w:p w14:paraId="10A36953" w14:textId="3879B433" w:rsidR="00214B40" w:rsidRPr="00C77082" w:rsidRDefault="00013BAC" w:rsidP="00175ABD">
      <w:pPr>
        <w:pStyle w:val="Paragraphedeliste"/>
        <w:widowControl w:val="0"/>
        <w:numPr>
          <w:ilvl w:val="0"/>
          <w:numId w:val="3"/>
        </w:numPr>
        <w:jc w:val="both"/>
        <w:rPr>
          <w:color w:val="000000"/>
        </w:rPr>
      </w:pPr>
      <w:r>
        <w:rPr>
          <w:color w:val="000000"/>
        </w:rPr>
        <w:t>l</w:t>
      </w:r>
      <w:r w:rsidR="00214B40" w:rsidRPr="00C77082">
        <w:rPr>
          <w:color w:val="000000"/>
        </w:rPr>
        <w:t>a poursuite de l’exploration de la notion de cadre en comparant les cadres de la logique sociale et ceux de la discipline scolaire aux différents niveaux de cadres envisagé</w:t>
      </w:r>
      <w:r w:rsidR="007F2D0B" w:rsidRPr="00C77082">
        <w:rPr>
          <w:color w:val="000000"/>
        </w:rPr>
        <w:t>s</w:t>
      </w:r>
      <w:r w:rsidR="00214B40" w:rsidRPr="00C77082">
        <w:rPr>
          <w:color w:val="000000"/>
        </w:rPr>
        <w:t xml:space="preserve"> en problématisation</w:t>
      </w:r>
      <w:r w:rsidR="00C77082">
        <w:rPr>
          <w:color w:val="000000"/>
        </w:rPr>
        <w:t>,</w:t>
      </w:r>
    </w:p>
    <w:p w14:paraId="1A03A196" w14:textId="5D0DABF5" w:rsidR="004172FD" w:rsidRPr="00C7160A" w:rsidRDefault="00013BAC" w:rsidP="00C7160A">
      <w:pPr>
        <w:pStyle w:val="Paragraphedeliste"/>
        <w:widowControl w:val="0"/>
        <w:numPr>
          <w:ilvl w:val="0"/>
          <w:numId w:val="3"/>
        </w:numPr>
        <w:jc w:val="both"/>
        <w:rPr>
          <w:color w:val="000000"/>
        </w:rPr>
      </w:pPr>
      <w:r>
        <w:rPr>
          <w:color w:val="000000"/>
        </w:rPr>
        <w:t>l</w:t>
      </w:r>
      <w:r w:rsidRPr="00C77082">
        <w:rPr>
          <w:color w:val="000000"/>
        </w:rPr>
        <w:t xml:space="preserve">’exploration </w:t>
      </w:r>
      <w:r w:rsidR="00214B40" w:rsidRPr="00C77082">
        <w:rPr>
          <w:color w:val="000000"/>
        </w:rPr>
        <w:t>de la notion de malentendu du point de vue des mécanismes de la problématisation dans les disciplines, et notamment de la question de la tension entre faits et idées explicatives</w:t>
      </w:r>
      <w:r w:rsidR="00175ABD" w:rsidRPr="00C77082">
        <w:rPr>
          <w:color w:val="000000"/>
        </w:rPr>
        <w:t xml:space="preserve"> dans l’activité des élèves.</w:t>
      </w:r>
    </w:p>
    <w:p w14:paraId="02CCC417" w14:textId="77777777" w:rsidR="00D35444" w:rsidRPr="00C77082" w:rsidRDefault="00D35444" w:rsidP="004172FD">
      <w:pPr>
        <w:numPr>
          <w:ilvl w:val="0"/>
          <w:numId w:val="3"/>
        </w:numPr>
        <w:suppressAutoHyphens/>
        <w:spacing w:before="60" w:after="120" w:line="276" w:lineRule="auto"/>
        <w:ind w:left="714" w:hanging="357"/>
        <w:jc w:val="both"/>
        <w:rPr>
          <w:b/>
        </w:rPr>
      </w:pPr>
      <w:r w:rsidRPr="00C77082">
        <w:rPr>
          <w:b/>
        </w:rPr>
        <w:t>Modalités de soumission d’une communication</w:t>
      </w:r>
    </w:p>
    <w:p w14:paraId="048B6620" w14:textId="477F2D27" w:rsidR="00D35444" w:rsidRPr="00C77082" w:rsidRDefault="00D35444" w:rsidP="00D35444">
      <w:pPr>
        <w:jc w:val="both"/>
      </w:pPr>
      <w:r w:rsidRPr="00C77082">
        <w:rPr>
          <w:color w:val="000000"/>
        </w:rPr>
        <w:t xml:space="preserve">Le Comité scientifique attend des </w:t>
      </w:r>
      <w:r w:rsidRPr="00C77082">
        <w:t xml:space="preserve">propositions de communication relatives à des études empiriques </w:t>
      </w:r>
      <w:r w:rsidR="00D50950" w:rsidRPr="00C77082">
        <w:t>et/ou</w:t>
      </w:r>
      <w:r w:rsidRPr="00C77082">
        <w:t xml:space="preserve"> théoriques. </w:t>
      </w:r>
    </w:p>
    <w:p w14:paraId="08D97900" w14:textId="7BAA9861" w:rsidR="004172FD" w:rsidRDefault="00D35444" w:rsidP="004172FD">
      <w:pPr>
        <w:spacing w:after="0"/>
        <w:jc w:val="both"/>
      </w:pPr>
      <w:r w:rsidRPr="00C77082">
        <w:rPr>
          <w:color w:val="000000"/>
        </w:rPr>
        <w:t>Ces propositions de communication (résumé de 2000 signes) devront comporter un titre et expliciter les</w:t>
      </w:r>
      <w:r w:rsidRPr="00C77082">
        <w:t xml:space="preserve"> </w:t>
      </w:r>
      <w:r w:rsidRPr="00C77082">
        <w:rPr>
          <w:color w:val="000000"/>
        </w:rPr>
        <w:t xml:space="preserve">questions au travail, les données et références mobilisées ainsi que les méthodes d’étude. Elles sont à adresser pour le </w:t>
      </w:r>
      <w:r w:rsidRPr="00C77082">
        <w:rPr>
          <w:b/>
          <w:color w:val="000000"/>
        </w:rPr>
        <w:t>12 mars 2017 20</w:t>
      </w:r>
      <w:r w:rsidR="004172FD">
        <w:rPr>
          <w:b/>
          <w:color w:val="000000"/>
        </w:rPr>
        <w:t xml:space="preserve"> </w:t>
      </w:r>
      <w:r w:rsidRPr="00C77082">
        <w:rPr>
          <w:b/>
          <w:color w:val="000000"/>
        </w:rPr>
        <w:t>h</w:t>
      </w:r>
      <w:r w:rsidRPr="00C77082">
        <w:rPr>
          <w:color w:val="000000"/>
        </w:rPr>
        <w:t xml:space="preserve"> à </w:t>
      </w:r>
      <w:hyperlink r:id="rId11" w:history="1">
        <w:r w:rsidR="00C77082" w:rsidRPr="00C77082">
          <w:rPr>
            <w:rStyle w:val="Lienhypertexte"/>
          </w:rPr>
          <w:t>florian.ouitre@unicaen.fr</w:t>
        </w:r>
      </w:hyperlink>
    </w:p>
    <w:p w14:paraId="69CDD8B8" w14:textId="77777777" w:rsidR="004172FD" w:rsidRPr="00C77082" w:rsidRDefault="004172FD" w:rsidP="00D35444">
      <w:pPr>
        <w:jc w:val="both"/>
      </w:pPr>
    </w:p>
    <w:p w14:paraId="74142C18" w14:textId="77777777" w:rsidR="00D35444" w:rsidRPr="00C77082" w:rsidRDefault="00D35444" w:rsidP="004172FD">
      <w:pPr>
        <w:numPr>
          <w:ilvl w:val="0"/>
          <w:numId w:val="3"/>
        </w:numPr>
        <w:suppressAutoHyphens/>
        <w:spacing w:before="60" w:after="120" w:line="276" w:lineRule="auto"/>
        <w:ind w:left="714" w:hanging="357"/>
        <w:jc w:val="both"/>
        <w:rPr>
          <w:b/>
        </w:rPr>
      </w:pPr>
      <w:r w:rsidRPr="00C77082">
        <w:rPr>
          <w:b/>
        </w:rPr>
        <w:t>Comité scientifique</w:t>
      </w:r>
    </w:p>
    <w:p w14:paraId="44EC7826" w14:textId="77777777" w:rsidR="00D35444" w:rsidRPr="00C77082" w:rsidRDefault="00272517" w:rsidP="00C7160A">
      <w:pPr>
        <w:pStyle w:val="Paragraphedeliste"/>
        <w:widowControl w:val="0"/>
        <w:numPr>
          <w:ilvl w:val="1"/>
          <w:numId w:val="3"/>
        </w:numPr>
        <w:suppressAutoHyphens/>
        <w:spacing w:after="0" w:line="276" w:lineRule="auto"/>
        <w:ind w:left="993" w:hanging="426"/>
        <w:jc w:val="both"/>
      </w:pPr>
      <w:sdt>
        <w:sdtPr>
          <w:id w:val="29520"/>
        </w:sdtPr>
        <w:sdtEndPr/>
        <w:sdtContent>
          <w:r w:rsidR="00D35444" w:rsidRPr="00C77082">
            <w:t>Adalberto Dias de Carvalho, Professeur, Université de Porto</w:t>
          </w:r>
        </w:sdtContent>
      </w:sdt>
    </w:p>
    <w:p w14:paraId="3ECA2525" w14:textId="2DC64528" w:rsidR="00D35444" w:rsidRPr="00C77082" w:rsidRDefault="00D35444" w:rsidP="00C7160A">
      <w:pPr>
        <w:pStyle w:val="Paragraphedeliste"/>
        <w:widowControl w:val="0"/>
        <w:numPr>
          <w:ilvl w:val="1"/>
          <w:numId w:val="3"/>
        </w:numPr>
        <w:suppressAutoHyphens/>
        <w:spacing w:after="0" w:line="276" w:lineRule="auto"/>
        <w:ind w:left="993" w:hanging="426"/>
        <w:jc w:val="both"/>
      </w:pPr>
      <w:r w:rsidRPr="00C77082">
        <w:t>Sylvain Doussot, Maitre de conférences HDR, Université de Nantes, ES</w:t>
      </w:r>
      <w:r w:rsidR="00C7160A">
        <w:t>P</w:t>
      </w:r>
      <w:r w:rsidRPr="00C77082">
        <w:t>E</w:t>
      </w:r>
    </w:p>
    <w:p w14:paraId="6BFFC006" w14:textId="77777777" w:rsidR="00D35444" w:rsidRPr="00C77082" w:rsidRDefault="00D35444" w:rsidP="00C7160A">
      <w:pPr>
        <w:pStyle w:val="Paragraphedeliste"/>
        <w:widowControl w:val="0"/>
        <w:numPr>
          <w:ilvl w:val="1"/>
          <w:numId w:val="3"/>
        </w:numPr>
        <w:suppressAutoHyphens/>
        <w:spacing w:after="0" w:line="276" w:lineRule="auto"/>
        <w:ind w:left="993" w:hanging="426"/>
        <w:jc w:val="both"/>
      </w:pPr>
      <w:r w:rsidRPr="00C77082">
        <w:t>Michel Fabre, Professeur émérite, Université de Nantes</w:t>
      </w:r>
    </w:p>
    <w:p w14:paraId="4D76A03D" w14:textId="40E6A215" w:rsidR="00D35444" w:rsidRPr="00C77082" w:rsidRDefault="00D35444" w:rsidP="00C7160A">
      <w:pPr>
        <w:pStyle w:val="Paragraphedeliste"/>
        <w:widowControl w:val="0"/>
        <w:numPr>
          <w:ilvl w:val="1"/>
          <w:numId w:val="3"/>
        </w:numPr>
        <w:suppressAutoHyphens/>
        <w:spacing w:after="0" w:line="276" w:lineRule="auto"/>
        <w:ind w:left="993" w:hanging="426"/>
        <w:jc w:val="both"/>
      </w:pPr>
      <w:r w:rsidRPr="00C77082">
        <w:t>Magali Hersant, Professeure, Université de Nantes</w:t>
      </w:r>
      <w:r w:rsidR="00C7160A">
        <w:t>, ESPE</w:t>
      </w:r>
    </w:p>
    <w:p w14:paraId="5AEE19F4" w14:textId="35C4F24B" w:rsidR="00D35444" w:rsidRPr="00C77082" w:rsidRDefault="00D35444" w:rsidP="00C7160A">
      <w:pPr>
        <w:pStyle w:val="Paragraphedeliste"/>
        <w:widowControl w:val="0"/>
        <w:numPr>
          <w:ilvl w:val="1"/>
          <w:numId w:val="3"/>
        </w:numPr>
        <w:suppressAutoHyphens/>
        <w:spacing w:after="0" w:line="276" w:lineRule="auto"/>
        <w:ind w:left="993" w:hanging="426"/>
        <w:jc w:val="both"/>
      </w:pPr>
      <w:r w:rsidRPr="00C77082">
        <w:t>Yann L</w:t>
      </w:r>
      <w:r w:rsidR="000D33F3" w:rsidRPr="00C77082">
        <w:t>hoste, Professeur</w:t>
      </w:r>
      <w:r w:rsidRPr="00C77082">
        <w:t>, Univer</w:t>
      </w:r>
      <w:r w:rsidR="000D33F3" w:rsidRPr="00C77082">
        <w:t>sité des Antilles</w:t>
      </w:r>
    </w:p>
    <w:p w14:paraId="7B667EA7" w14:textId="6AE4C5AF" w:rsidR="00D35444" w:rsidRPr="00C77082" w:rsidRDefault="00D35444" w:rsidP="00C7160A">
      <w:pPr>
        <w:pStyle w:val="Paragraphedeliste"/>
        <w:widowControl w:val="0"/>
        <w:numPr>
          <w:ilvl w:val="1"/>
          <w:numId w:val="3"/>
        </w:numPr>
        <w:suppressAutoHyphens/>
        <w:spacing w:after="0" w:line="276" w:lineRule="auto"/>
        <w:ind w:left="993" w:hanging="426"/>
        <w:jc w:val="both"/>
      </w:pPr>
      <w:r w:rsidRPr="00C77082">
        <w:t>Christian Orange, Professeur, Université Libre de Bruxelles</w:t>
      </w:r>
      <w:r w:rsidR="00C7160A">
        <w:t xml:space="preserve"> et Université de Nantes, ESPE</w:t>
      </w:r>
    </w:p>
    <w:p w14:paraId="10D09C08" w14:textId="6580C468" w:rsidR="00D35444" w:rsidRPr="00C77082" w:rsidRDefault="00D35444" w:rsidP="00C7160A">
      <w:pPr>
        <w:pStyle w:val="Paragraphedeliste"/>
        <w:widowControl w:val="0"/>
        <w:numPr>
          <w:ilvl w:val="1"/>
          <w:numId w:val="3"/>
        </w:numPr>
        <w:suppressAutoHyphens/>
        <w:spacing w:after="0" w:line="276" w:lineRule="auto"/>
        <w:ind w:left="993" w:hanging="426"/>
        <w:jc w:val="both"/>
      </w:pPr>
      <w:r w:rsidRPr="00C77082">
        <w:t>F</w:t>
      </w:r>
      <w:r w:rsidR="00115259" w:rsidRPr="00C77082">
        <w:t>l</w:t>
      </w:r>
      <w:r w:rsidRPr="00C77082">
        <w:t>orian Ouitre, Maître de conférences, Université de Caen</w:t>
      </w:r>
      <w:r w:rsidR="00C7160A">
        <w:t>, ESPE</w:t>
      </w:r>
    </w:p>
    <w:p w14:paraId="2615C4C8" w14:textId="77777777" w:rsidR="00D35444" w:rsidRPr="00C77082" w:rsidRDefault="00D35444" w:rsidP="00C7160A">
      <w:pPr>
        <w:pStyle w:val="Paragraphedeliste"/>
        <w:widowControl w:val="0"/>
        <w:numPr>
          <w:ilvl w:val="1"/>
          <w:numId w:val="3"/>
        </w:numPr>
        <w:suppressAutoHyphens/>
        <w:spacing w:after="0" w:line="276" w:lineRule="auto"/>
        <w:ind w:left="993" w:hanging="426"/>
        <w:jc w:val="both"/>
      </w:pPr>
      <w:r w:rsidRPr="00C77082">
        <w:t>Denise Orange Ravachol, Professeure, Université de Lille 3</w:t>
      </w:r>
    </w:p>
    <w:p w14:paraId="04E23EA6" w14:textId="0A056CD0" w:rsidR="00D35444" w:rsidRDefault="00D35444" w:rsidP="00C7160A">
      <w:pPr>
        <w:pStyle w:val="Paragraphedeliste"/>
        <w:numPr>
          <w:ilvl w:val="1"/>
          <w:numId w:val="3"/>
        </w:numPr>
        <w:suppressAutoHyphens/>
        <w:spacing w:after="0" w:line="276" w:lineRule="auto"/>
        <w:ind w:left="993" w:hanging="426"/>
        <w:jc w:val="both"/>
      </w:pPr>
      <w:r w:rsidRPr="00C77082">
        <w:t>Éléna Théorodopoulou, Professeure, Université de l’Égée.</w:t>
      </w:r>
    </w:p>
    <w:p w14:paraId="3BA5FEC0" w14:textId="77777777" w:rsidR="004172FD" w:rsidRDefault="004172FD" w:rsidP="00C7160A">
      <w:pPr>
        <w:suppressAutoHyphens/>
        <w:spacing w:after="0" w:line="276" w:lineRule="auto"/>
        <w:jc w:val="both"/>
      </w:pPr>
    </w:p>
    <w:p w14:paraId="768A07F2" w14:textId="77777777" w:rsidR="00D35444" w:rsidRPr="00C77082" w:rsidRDefault="00D35444" w:rsidP="004172FD">
      <w:pPr>
        <w:numPr>
          <w:ilvl w:val="0"/>
          <w:numId w:val="3"/>
        </w:numPr>
        <w:suppressAutoHyphens/>
        <w:spacing w:after="120" w:line="276" w:lineRule="auto"/>
        <w:ind w:left="714" w:hanging="357"/>
        <w:jc w:val="both"/>
        <w:rPr>
          <w:b/>
        </w:rPr>
      </w:pPr>
      <w:r w:rsidRPr="00C77082">
        <w:rPr>
          <w:b/>
        </w:rPr>
        <w:t>Comité d’organisation</w:t>
      </w:r>
    </w:p>
    <w:p w14:paraId="76C503BD" w14:textId="66B9F2E5" w:rsidR="00C34405" w:rsidRPr="00C77082" w:rsidRDefault="00C34405" w:rsidP="00C7160A">
      <w:pPr>
        <w:pStyle w:val="Paragraphedeliste"/>
        <w:widowControl w:val="0"/>
        <w:numPr>
          <w:ilvl w:val="1"/>
          <w:numId w:val="3"/>
        </w:numPr>
        <w:suppressAutoHyphens/>
        <w:spacing w:after="0" w:line="276" w:lineRule="auto"/>
        <w:ind w:left="993" w:hanging="426"/>
        <w:jc w:val="both"/>
      </w:pPr>
      <w:r w:rsidRPr="00C77082">
        <w:t>Nathalie Lebreuilly</w:t>
      </w:r>
      <w:r w:rsidR="00C7160A">
        <w:t xml:space="preserve">, </w:t>
      </w:r>
      <w:r w:rsidR="00C7160A" w:rsidRPr="00C7160A">
        <w:t xml:space="preserve">ESPE de l'académie de Caen, site départemental de Saint-Lô, </w:t>
      </w:r>
      <w:r w:rsidR="00E276A0">
        <w:t>U</w:t>
      </w:r>
      <w:r w:rsidR="00E276A0" w:rsidRPr="00C7160A">
        <w:t xml:space="preserve">niversité </w:t>
      </w:r>
      <w:r w:rsidR="00C7160A" w:rsidRPr="00C7160A">
        <w:t xml:space="preserve">de Caen  </w:t>
      </w:r>
    </w:p>
    <w:p w14:paraId="66B33090" w14:textId="77777777" w:rsidR="00B81F55" w:rsidRDefault="00C34405" w:rsidP="00C7160A">
      <w:pPr>
        <w:pStyle w:val="Paragraphedeliste"/>
        <w:widowControl w:val="0"/>
        <w:numPr>
          <w:ilvl w:val="1"/>
          <w:numId w:val="3"/>
        </w:numPr>
        <w:suppressAutoHyphens/>
        <w:spacing w:after="0" w:line="276" w:lineRule="auto"/>
        <w:ind w:left="993" w:hanging="426"/>
        <w:jc w:val="both"/>
      </w:pPr>
      <w:r w:rsidRPr="00C77082">
        <w:t>Sylvie Plaine</w:t>
      </w:r>
      <w:r w:rsidR="00013BAC">
        <w:t xml:space="preserve">, </w:t>
      </w:r>
      <w:r w:rsidR="00C7160A" w:rsidRPr="00C7160A">
        <w:t>ESPE de l'académie de Caen, site départemental d</w:t>
      </w:r>
      <w:r w:rsidR="00C7160A">
        <w:t xml:space="preserve">e Saint-Lô, </w:t>
      </w:r>
      <w:r w:rsidR="00E276A0">
        <w:t xml:space="preserve">Université </w:t>
      </w:r>
      <w:r w:rsidR="00C7160A">
        <w:t>de Caen</w:t>
      </w:r>
    </w:p>
    <w:p w14:paraId="084F428F" w14:textId="4E6AF33A" w:rsidR="00C34405" w:rsidRPr="00C77082" w:rsidRDefault="00B81F55" w:rsidP="00C7160A">
      <w:pPr>
        <w:pStyle w:val="Paragraphedeliste"/>
        <w:widowControl w:val="0"/>
        <w:numPr>
          <w:ilvl w:val="1"/>
          <w:numId w:val="3"/>
        </w:numPr>
        <w:suppressAutoHyphens/>
        <w:spacing w:after="0" w:line="276" w:lineRule="auto"/>
        <w:ind w:left="993" w:hanging="426"/>
        <w:jc w:val="both"/>
      </w:pPr>
      <w:r>
        <w:t xml:space="preserve">Prevel Sandrine, </w:t>
      </w:r>
      <w:r w:rsidRPr="00B81F55">
        <w:rPr>
          <w:rFonts w:ascii="Calibri" w:hAnsi="Calibri" w:cs="Calibri"/>
        </w:rPr>
        <w:t>Inspectrice de l’éducation nationale</w:t>
      </w:r>
      <w:r>
        <w:rPr>
          <w:rFonts w:ascii="Calibri" w:hAnsi="Calibri" w:cs="Calibri"/>
        </w:rPr>
        <w:t xml:space="preserve"> chargée de la circonscription du premier degré du Havre Nord (Seine Maritime, académie de Rouen)</w:t>
      </w:r>
      <w:r w:rsidR="00C7160A">
        <w:t xml:space="preserve"> </w:t>
      </w:r>
    </w:p>
    <w:p w14:paraId="01ADE2EC" w14:textId="07A94E33" w:rsidR="00C34405" w:rsidRPr="00C77082" w:rsidRDefault="00C34405" w:rsidP="00C7160A">
      <w:pPr>
        <w:pStyle w:val="Paragraphedeliste"/>
        <w:widowControl w:val="0"/>
        <w:numPr>
          <w:ilvl w:val="1"/>
          <w:numId w:val="3"/>
        </w:numPr>
        <w:suppressAutoHyphens/>
        <w:spacing w:after="0" w:line="276" w:lineRule="auto"/>
        <w:ind w:left="993" w:hanging="426"/>
        <w:jc w:val="both"/>
      </w:pPr>
      <w:r w:rsidRPr="00C77082">
        <w:t>Florian Ouitre</w:t>
      </w:r>
      <w:r w:rsidR="00013BAC">
        <w:t>,</w:t>
      </w:r>
      <w:r w:rsidR="00013BAC" w:rsidRPr="00013BAC">
        <w:t xml:space="preserve"> </w:t>
      </w:r>
      <w:r w:rsidR="00C7160A" w:rsidRPr="00C7160A">
        <w:t xml:space="preserve">ESPE de l'académie de Caen, site départemental de Saint-Lô, </w:t>
      </w:r>
      <w:r w:rsidR="00E276A0">
        <w:t>U</w:t>
      </w:r>
      <w:r w:rsidR="00E276A0" w:rsidRPr="00C7160A">
        <w:t xml:space="preserve">niversité </w:t>
      </w:r>
      <w:r w:rsidR="00C7160A" w:rsidRPr="00C7160A">
        <w:t xml:space="preserve">de Caen  </w:t>
      </w:r>
    </w:p>
    <w:p w14:paraId="462BD82A" w14:textId="77777777" w:rsidR="00C34405" w:rsidRPr="00C77082" w:rsidRDefault="00C34405" w:rsidP="00E276A0">
      <w:pPr>
        <w:suppressAutoHyphens/>
        <w:spacing w:after="0" w:line="276" w:lineRule="auto"/>
        <w:jc w:val="both"/>
      </w:pPr>
    </w:p>
    <w:p w14:paraId="286C3BCD" w14:textId="77777777" w:rsidR="00D35444" w:rsidRPr="00C77082" w:rsidRDefault="00D35444" w:rsidP="00C34405">
      <w:pPr>
        <w:numPr>
          <w:ilvl w:val="0"/>
          <w:numId w:val="3"/>
        </w:numPr>
        <w:suppressAutoHyphens/>
        <w:spacing w:after="120" w:line="276" w:lineRule="auto"/>
        <w:ind w:left="714" w:hanging="357"/>
        <w:jc w:val="both"/>
        <w:rPr>
          <w:b/>
        </w:rPr>
      </w:pPr>
      <w:r w:rsidRPr="00C77082">
        <w:rPr>
          <w:b/>
        </w:rPr>
        <w:t>Dates clés </w:t>
      </w:r>
    </w:p>
    <w:p w14:paraId="5B3EDF85" w14:textId="105DA440" w:rsidR="00D35444" w:rsidRPr="00C77082" w:rsidRDefault="00D35444" w:rsidP="004172FD">
      <w:pPr>
        <w:numPr>
          <w:ilvl w:val="1"/>
          <w:numId w:val="3"/>
        </w:numPr>
        <w:suppressAutoHyphens/>
        <w:spacing w:after="0" w:line="276" w:lineRule="auto"/>
        <w:ind w:left="1434" w:hanging="357"/>
        <w:jc w:val="both"/>
      </w:pPr>
      <w:r w:rsidRPr="00C77082">
        <w:t>Appel à communication : 15 janvier 2018</w:t>
      </w:r>
    </w:p>
    <w:p w14:paraId="1611C610" w14:textId="09D7426A" w:rsidR="00D35444" w:rsidRPr="00C77082" w:rsidRDefault="00D35444" w:rsidP="004172FD">
      <w:pPr>
        <w:numPr>
          <w:ilvl w:val="1"/>
          <w:numId w:val="3"/>
        </w:numPr>
        <w:suppressAutoHyphens/>
        <w:spacing w:after="0" w:line="276" w:lineRule="auto"/>
        <w:ind w:left="1434" w:hanging="357"/>
        <w:jc w:val="both"/>
      </w:pPr>
      <w:r w:rsidRPr="00C77082">
        <w:t>Date limite de proposition d’une communication : 12 mars 201</w:t>
      </w:r>
      <w:r w:rsidR="00C01D97" w:rsidRPr="00C77082">
        <w:t>8</w:t>
      </w:r>
      <w:r w:rsidR="001A0A44">
        <w:t xml:space="preserve"> à</w:t>
      </w:r>
      <w:r w:rsidRPr="00C77082">
        <w:t xml:space="preserve"> 20h00</w:t>
      </w:r>
    </w:p>
    <w:p w14:paraId="42E817FF" w14:textId="2227C38F" w:rsidR="00D35444" w:rsidRPr="00C77082" w:rsidRDefault="00D35444" w:rsidP="004172FD">
      <w:pPr>
        <w:numPr>
          <w:ilvl w:val="1"/>
          <w:numId w:val="3"/>
        </w:numPr>
        <w:suppressAutoHyphens/>
        <w:spacing w:after="0" w:line="276" w:lineRule="auto"/>
        <w:ind w:left="1434" w:hanging="357"/>
        <w:jc w:val="both"/>
      </w:pPr>
      <w:r w:rsidRPr="00C77082">
        <w:t xml:space="preserve">Retour des avis du Comité scientifique aux auteurs : </w:t>
      </w:r>
      <w:r w:rsidR="00C01D97" w:rsidRPr="00C77082">
        <w:t>2 avril</w:t>
      </w:r>
      <w:r w:rsidRPr="00C77082">
        <w:t xml:space="preserve"> 201</w:t>
      </w:r>
      <w:r w:rsidR="00C01D97" w:rsidRPr="00C77082">
        <w:t>8</w:t>
      </w:r>
    </w:p>
    <w:p w14:paraId="06A3C09C" w14:textId="11E0198F" w:rsidR="00EB003F" w:rsidRPr="00E276A0" w:rsidRDefault="00D35444" w:rsidP="00E276A0">
      <w:pPr>
        <w:numPr>
          <w:ilvl w:val="0"/>
          <w:numId w:val="3"/>
        </w:numPr>
        <w:suppressAutoHyphens/>
        <w:spacing w:after="120" w:line="276" w:lineRule="auto"/>
        <w:ind w:left="714" w:hanging="357"/>
        <w:jc w:val="both"/>
        <w:rPr>
          <w:b/>
        </w:rPr>
      </w:pPr>
      <w:r w:rsidRPr="00E276A0">
        <w:rPr>
          <w:b/>
        </w:rPr>
        <w:t xml:space="preserve"> Date limite d’inscription au colloque : </w:t>
      </w:r>
      <w:r w:rsidR="008D62D7" w:rsidRPr="00E276A0">
        <w:rPr>
          <w:b/>
        </w:rPr>
        <w:t>23</w:t>
      </w:r>
      <w:r w:rsidR="001A0A44" w:rsidRPr="00E276A0">
        <w:rPr>
          <w:b/>
        </w:rPr>
        <w:t xml:space="preserve"> avril 2018</w:t>
      </w:r>
    </w:p>
    <w:sectPr w:rsidR="00EB003F" w:rsidRPr="00E276A0" w:rsidSect="00C7160A">
      <w:footerReference w:type="even" r:id="rId12"/>
      <w:footerReference w:type="default" r:id="rId13"/>
      <w:pgSz w:w="11906" w:h="16838"/>
      <w:pgMar w:top="452"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D79FC" w14:textId="77777777" w:rsidR="008D452B" w:rsidRDefault="008D452B" w:rsidP="00C77082">
      <w:pPr>
        <w:spacing w:after="0" w:line="240" w:lineRule="auto"/>
      </w:pPr>
      <w:r>
        <w:separator/>
      </w:r>
    </w:p>
  </w:endnote>
  <w:endnote w:type="continuationSeparator" w:id="0">
    <w:p w14:paraId="1770EAA8" w14:textId="77777777" w:rsidR="008D452B" w:rsidRDefault="008D452B" w:rsidP="00C77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9BBD" w14:textId="77777777" w:rsidR="00C77082" w:rsidRDefault="00C77082" w:rsidP="00B549AD">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C5F2DEC" w14:textId="77777777" w:rsidR="00C77082" w:rsidRDefault="00C77082">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B94AF" w14:textId="63AB7C8F" w:rsidR="00C77082" w:rsidRDefault="00C77082" w:rsidP="00B549AD">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72517">
      <w:rPr>
        <w:rStyle w:val="Numrodepage"/>
        <w:noProof/>
      </w:rPr>
      <w:t>1</w:t>
    </w:r>
    <w:r>
      <w:rPr>
        <w:rStyle w:val="Numrodepage"/>
      </w:rPr>
      <w:fldChar w:fldCharType="end"/>
    </w:r>
  </w:p>
  <w:p w14:paraId="6C643900" w14:textId="77777777" w:rsidR="00C77082" w:rsidRDefault="00C7708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76E5F" w14:textId="77777777" w:rsidR="008D452B" w:rsidRDefault="008D452B" w:rsidP="00C77082">
      <w:pPr>
        <w:spacing w:after="0" w:line="240" w:lineRule="auto"/>
      </w:pPr>
      <w:r>
        <w:separator/>
      </w:r>
    </w:p>
  </w:footnote>
  <w:footnote w:type="continuationSeparator" w:id="0">
    <w:p w14:paraId="3ABC5FC3" w14:textId="77777777" w:rsidR="008D452B" w:rsidRDefault="008D452B" w:rsidP="00C77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16930"/>
    <w:multiLevelType w:val="hybridMultilevel"/>
    <w:tmpl w:val="19203B86"/>
    <w:lvl w:ilvl="0" w:tplc="DE342322">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9155FE"/>
    <w:multiLevelType w:val="hybridMultilevel"/>
    <w:tmpl w:val="6C6004F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78BA5AD2"/>
    <w:multiLevelType w:val="hybridMultilevel"/>
    <w:tmpl w:val="F0C44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BE7150"/>
    <w:multiLevelType w:val="multilevel"/>
    <w:tmpl w:val="8FD8CFB6"/>
    <w:lvl w:ilvl="0">
      <w:start w:val="1"/>
      <w:numFmt w:val="bullet"/>
      <w:lvlText w:val=""/>
      <w:lvlJc w:val="left"/>
      <w:pPr>
        <w:tabs>
          <w:tab w:val="num" w:pos="714"/>
        </w:tabs>
        <w:ind w:left="714" w:hanging="35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F3"/>
    <w:rsid w:val="0000516D"/>
    <w:rsid w:val="00005F49"/>
    <w:rsid w:val="00006925"/>
    <w:rsid w:val="00007AAC"/>
    <w:rsid w:val="0001220C"/>
    <w:rsid w:val="00013BAC"/>
    <w:rsid w:val="00014663"/>
    <w:rsid w:val="000208FE"/>
    <w:rsid w:val="00022235"/>
    <w:rsid w:val="00032A3D"/>
    <w:rsid w:val="00046F89"/>
    <w:rsid w:val="00050AF3"/>
    <w:rsid w:val="000552D5"/>
    <w:rsid w:val="00081617"/>
    <w:rsid w:val="00085C11"/>
    <w:rsid w:val="00096E71"/>
    <w:rsid w:val="00097247"/>
    <w:rsid w:val="00097270"/>
    <w:rsid w:val="000972F5"/>
    <w:rsid w:val="00097D4A"/>
    <w:rsid w:val="000A66C3"/>
    <w:rsid w:val="000A7381"/>
    <w:rsid w:val="000B6AC9"/>
    <w:rsid w:val="000C46DD"/>
    <w:rsid w:val="000D33F3"/>
    <w:rsid w:val="000D6801"/>
    <w:rsid w:val="000D6DC8"/>
    <w:rsid w:val="000E0AB0"/>
    <w:rsid w:val="000E2829"/>
    <w:rsid w:val="000E7047"/>
    <w:rsid w:val="000F6024"/>
    <w:rsid w:val="00110504"/>
    <w:rsid w:val="00111CD8"/>
    <w:rsid w:val="00115259"/>
    <w:rsid w:val="00132246"/>
    <w:rsid w:val="0013238B"/>
    <w:rsid w:val="00132C91"/>
    <w:rsid w:val="00134E29"/>
    <w:rsid w:val="001350E5"/>
    <w:rsid w:val="00140162"/>
    <w:rsid w:val="001411F4"/>
    <w:rsid w:val="00157206"/>
    <w:rsid w:val="001633EA"/>
    <w:rsid w:val="001706A9"/>
    <w:rsid w:val="00175ABD"/>
    <w:rsid w:val="001911B0"/>
    <w:rsid w:val="00191FB4"/>
    <w:rsid w:val="00194AA8"/>
    <w:rsid w:val="00196518"/>
    <w:rsid w:val="001A0A44"/>
    <w:rsid w:val="001B23E7"/>
    <w:rsid w:val="001B5886"/>
    <w:rsid w:val="001B58B2"/>
    <w:rsid w:val="001C4638"/>
    <w:rsid w:val="001C5D4D"/>
    <w:rsid w:val="001C600A"/>
    <w:rsid w:val="001C6447"/>
    <w:rsid w:val="001E28FF"/>
    <w:rsid w:val="001E2B38"/>
    <w:rsid w:val="001E34D1"/>
    <w:rsid w:val="001E7916"/>
    <w:rsid w:val="001F4665"/>
    <w:rsid w:val="001F7065"/>
    <w:rsid w:val="00200224"/>
    <w:rsid w:val="002041D7"/>
    <w:rsid w:val="00204DE5"/>
    <w:rsid w:val="00210663"/>
    <w:rsid w:val="0021233F"/>
    <w:rsid w:val="00214B40"/>
    <w:rsid w:val="0022181D"/>
    <w:rsid w:val="00224A07"/>
    <w:rsid w:val="00232D54"/>
    <w:rsid w:val="0023323D"/>
    <w:rsid w:val="002402D7"/>
    <w:rsid w:val="00243CDC"/>
    <w:rsid w:val="00252B8C"/>
    <w:rsid w:val="00264238"/>
    <w:rsid w:val="0027146F"/>
    <w:rsid w:val="00272517"/>
    <w:rsid w:val="002740CB"/>
    <w:rsid w:val="00274BB8"/>
    <w:rsid w:val="00285649"/>
    <w:rsid w:val="00287F87"/>
    <w:rsid w:val="002952B8"/>
    <w:rsid w:val="002A1C9E"/>
    <w:rsid w:val="002C3644"/>
    <w:rsid w:val="002C586A"/>
    <w:rsid w:val="002D7B33"/>
    <w:rsid w:val="002E795E"/>
    <w:rsid w:val="002F2E10"/>
    <w:rsid w:val="00302F91"/>
    <w:rsid w:val="003043C1"/>
    <w:rsid w:val="00320FC8"/>
    <w:rsid w:val="00342BCB"/>
    <w:rsid w:val="00352A69"/>
    <w:rsid w:val="00353983"/>
    <w:rsid w:val="003563A2"/>
    <w:rsid w:val="003658DC"/>
    <w:rsid w:val="0036725A"/>
    <w:rsid w:val="00371166"/>
    <w:rsid w:val="00383983"/>
    <w:rsid w:val="00390CB8"/>
    <w:rsid w:val="003936DA"/>
    <w:rsid w:val="00395F78"/>
    <w:rsid w:val="003A07D6"/>
    <w:rsid w:val="003A23C2"/>
    <w:rsid w:val="003A3459"/>
    <w:rsid w:val="003B73AD"/>
    <w:rsid w:val="003B78EE"/>
    <w:rsid w:val="003C6060"/>
    <w:rsid w:val="003D2BAD"/>
    <w:rsid w:val="003D651B"/>
    <w:rsid w:val="003E2A27"/>
    <w:rsid w:val="003E57C2"/>
    <w:rsid w:val="003E7F99"/>
    <w:rsid w:val="003F5B8C"/>
    <w:rsid w:val="003F64F0"/>
    <w:rsid w:val="004060B2"/>
    <w:rsid w:val="00413DE4"/>
    <w:rsid w:val="004172FD"/>
    <w:rsid w:val="00421DF4"/>
    <w:rsid w:val="00422D17"/>
    <w:rsid w:val="004269A3"/>
    <w:rsid w:val="00434567"/>
    <w:rsid w:val="00437CA9"/>
    <w:rsid w:val="00441D97"/>
    <w:rsid w:val="00445FC3"/>
    <w:rsid w:val="004572BA"/>
    <w:rsid w:val="004624E3"/>
    <w:rsid w:val="00476CBB"/>
    <w:rsid w:val="0047758D"/>
    <w:rsid w:val="00486FB9"/>
    <w:rsid w:val="00493184"/>
    <w:rsid w:val="0049399B"/>
    <w:rsid w:val="004A3CA5"/>
    <w:rsid w:val="004A7A34"/>
    <w:rsid w:val="004B6BDF"/>
    <w:rsid w:val="004C5DCB"/>
    <w:rsid w:val="004C7D5F"/>
    <w:rsid w:val="004D3332"/>
    <w:rsid w:val="004D539B"/>
    <w:rsid w:val="004D7493"/>
    <w:rsid w:val="004E5E25"/>
    <w:rsid w:val="004F07B3"/>
    <w:rsid w:val="004F1A1C"/>
    <w:rsid w:val="00500045"/>
    <w:rsid w:val="0050149C"/>
    <w:rsid w:val="005031F0"/>
    <w:rsid w:val="00503C8B"/>
    <w:rsid w:val="00504975"/>
    <w:rsid w:val="0051699D"/>
    <w:rsid w:val="00530DBB"/>
    <w:rsid w:val="0053274E"/>
    <w:rsid w:val="005503BC"/>
    <w:rsid w:val="005531F5"/>
    <w:rsid w:val="00554120"/>
    <w:rsid w:val="0055441D"/>
    <w:rsid w:val="00554ABA"/>
    <w:rsid w:val="0055521D"/>
    <w:rsid w:val="00555BB6"/>
    <w:rsid w:val="0055685B"/>
    <w:rsid w:val="005579A5"/>
    <w:rsid w:val="00557CE6"/>
    <w:rsid w:val="00563EB8"/>
    <w:rsid w:val="00565A83"/>
    <w:rsid w:val="00567AE3"/>
    <w:rsid w:val="00567D82"/>
    <w:rsid w:val="00576FD9"/>
    <w:rsid w:val="00583483"/>
    <w:rsid w:val="005B01FD"/>
    <w:rsid w:val="005B1DD3"/>
    <w:rsid w:val="005E0B89"/>
    <w:rsid w:val="005E2672"/>
    <w:rsid w:val="005E71B6"/>
    <w:rsid w:val="005F141F"/>
    <w:rsid w:val="005F1A35"/>
    <w:rsid w:val="005F1E59"/>
    <w:rsid w:val="005F22CB"/>
    <w:rsid w:val="006007C7"/>
    <w:rsid w:val="0061568E"/>
    <w:rsid w:val="0062434D"/>
    <w:rsid w:val="006340CD"/>
    <w:rsid w:val="00637B9D"/>
    <w:rsid w:val="00641F1F"/>
    <w:rsid w:val="00643DDC"/>
    <w:rsid w:val="0064729F"/>
    <w:rsid w:val="00655149"/>
    <w:rsid w:val="00666A28"/>
    <w:rsid w:val="00670807"/>
    <w:rsid w:val="00672A2E"/>
    <w:rsid w:val="00682902"/>
    <w:rsid w:val="006877F3"/>
    <w:rsid w:val="006A041B"/>
    <w:rsid w:val="006B11AB"/>
    <w:rsid w:val="006B442F"/>
    <w:rsid w:val="006B52C3"/>
    <w:rsid w:val="006B7356"/>
    <w:rsid w:val="006B7C6C"/>
    <w:rsid w:val="006B7C71"/>
    <w:rsid w:val="006C7DB8"/>
    <w:rsid w:val="006D056B"/>
    <w:rsid w:val="006D2600"/>
    <w:rsid w:val="006D26F2"/>
    <w:rsid w:val="006D326C"/>
    <w:rsid w:val="006E1508"/>
    <w:rsid w:val="006E2573"/>
    <w:rsid w:val="006F3DA8"/>
    <w:rsid w:val="006F6803"/>
    <w:rsid w:val="00700A81"/>
    <w:rsid w:val="0071731F"/>
    <w:rsid w:val="00720F47"/>
    <w:rsid w:val="00725D7F"/>
    <w:rsid w:val="00735893"/>
    <w:rsid w:val="007368BB"/>
    <w:rsid w:val="00752C1F"/>
    <w:rsid w:val="00761B33"/>
    <w:rsid w:val="00762FC5"/>
    <w:rsid w:val="0076467D"/>
    <w:rsid w:val="00765734"/>
    <w:rsid w:val="00772096"/>
    <w:rsid w:val="00773EBE"/>
    <w:rsid w:val="00777FAC"/>
    <w:rsid w:val="0078123A"/>
    <w:rsid w:val="00783095"/>
    <w:rsid w:val="0078314C"/>
    <w:rsid w:val="00796090"/>
    <w:rsid w:val="007A0FBE"/>
    <w:rsid w:val="007A636F"/>
    <w:rsid w:val="007B0E0A"/>
    <w:rsid w:val="007B3974"/>
    <w:rsid w:val="007C1069"/>
    <w:rsid w:val="007C411A"/>
    <w:rsid w:val="007D12D5"/>
    <w:rsid w:val="007D61FF"/>
    <w:rsid w:val="007D68FB"/>
    <w:rsid w:val="007E1032"/>
    <w:rsid w:val="007E1A45"/>
    <w:rsid w:val="007F2D0B"/>
    <w:rsid w:val="007F799B"/>
    <w:rsid w:val="0081315A"/>
    <w:rsid w:val="00815CE7"/>
    <w:rsid w:val="00825480"/>
    <w:rsid w:val="008303B5"/>
    <w:rsid w:val="00830E3D"/>
    <w:rsid w:val="008422F8"/>
    <w:rsid w:val="008438E6"/>
    <w:rsid w:val="00844ACD"/>
    <w:rsid w:val="008711A8"/>
    <w:rsid w:val="00872D4C"/>
    <w:rsid w:val="008749B7"/>
    <w:rsid w:val="00876B38"/>
    <w:rsid w:val="00877047"/>
    <w:rsid w:val="00882058"/>
    <w:rsid w:val="00882D83"/>
    <w:rsid w:val="00883195"/>
    <w:rsid w:val="008841AC"/>
    <w:rsid w:val="008934FE"/>
    <w:rsid w:val="00897833"/>
    <w:rsid w:val="008A3438"/>
    <w:rsid w:val="008B105F"/>
    <w:rsid w:val="008B133A"/>
    <w:rsid w:val="008B6980"/>
    <w:rsid w:val="008C2245"/>
    <w:rsid w:val="008D1008"/>
    <w:rsid w:val="008D452B"/>
    <w:rsid w:val="008D62D7"/>
    <w:rsid w:val="008D79B8"/>
    <w:rsid w:val="008E4589"/>
    <w:rsid w:val="008F20A0"/>
    <w:rsid w:val="00915B31"/>
    <w:rsid w:val="00921F85"/>
    <w:rsid w:val="00923992"/>
    <w:rsid w:val="00933B53"/>
    <w:rsid w:val="00941599"/>
    <w:rsid w:val="0094302A"/>
    <w:rsid w:val="00963490"/>
    <w:rsid w:val="009728F3"/>
    <w:rsid w:val="00977848"/>
    <w:rsid w:val="00985240"/>
    <w:rsid w:val="009873A6"/>
    <w:rsid w:val="00987493"/>
    <w:rsid w:val="009917E0"/>
    <w:rsid w:val="00993926"/>
    <w:rsid w:val="0099483B"/>
    <w:rsid w:val="009A3610"/>
    <w:rsid w:val="009B10CB"/>
    <w:rsid w:val="009B6C10"/>
    <w:rsid w:val="009C1CEC"/>
    <w:rsid w:val="009C5531"/>
    <w:rsid w:val="009D10CF"/>
    <w:rsid w:val="009E131A"/>
    <w:rsid w:val="00A0498E"/>
    <w:rsid w:val="00A14C6A"/>
    <w:rsid w:val="00A17250"/>
    <w:rsid w:val="00A175F9"/>
    <w:rsid w:val="00A24869"/>
    <w:rsid w:val="00A31028"/>
    <w:rsid w:val="00A333AB"/>
    <w:rsid w:val="00A3631C"/>
    <w:rsid w:val="00A367F2"/>
    <w:rsid w:val="00A37D99"/>
    <w:rsid w:val="00A37EE2"/>
    <w:rsid w:val="00A50D17"/>
    <w:rsid w:val="00A70FA2"/>
    <w:rsid w:val="00A7135A"/>
    <w:rsid w:val="00A7556A"/>
    <w:rsid w:val="00A7733C"/>
    <w:rsid w:val="00A94193"/>
    <w:rsid w:val="00A96366"/>
    <w:rsid w:val="00A96AB6"/>
    <w:rsid w:val="00AA6039"/>
    <w:rsid w:val="00AA7BA0"/>
    <w:rsid w:val="00AB060E"/>
    <w:rsid w:val="00AB1EF6"/>
    <w:rsid w:val="00AC3D2A"/>
    <w:rsid w:val="00AC75D2"/>
    <w:rsid w:val="00AD4380"/>
    <w:rsid w:val="00AD65EB"/>
    <w:rsid w:val="00AE1605"/>
    <w:rsid w:val="00AF06BE"/>
    <w:rsid w:val="00AF4C6D"/>
    <w:rsid w:val="00AF50FA"/>
    <w:rsid w:val="00B043DD"/>
    <w:rsid w:val="00B04F39"/>
    <w:rsid w:val="00B13615"/>
    <w:rsid w:val="00B17611"/>
    <w:rsid w:val="00B213BB"/>
    <w:rsid w:val="00B3053B"/>
    <w:rsid w:val="00B306FD"/>
    <w:rsid w:val="00B32090"/>
    <w:rsid w:val="00B372E5"/>
    <w:rsid w:val="00B440AC"/>
    <w:rsid w:val="00B52DDD"/>
    <w:rsid w:val="00B6260A"/>
    <w:rsid w:val="00B6440C"/>
    <w:rsid w:val="00B65DA1"/>
    <w:rsid w:val="00B66BF4"/>
    <w:rsid w:val="00B7486E"/>
    <w:rsid w:val="00B8184D"/>
    <w:rsid w:val="00B81BB0"/>
    <w:rsid w:val="00B81F55"/>
    <w:rsid w:val="00B832D1"/>
    <w:rsid w:val="00B864C7"/>
    <w:rsid w:val="00B91F78"/>
    <w:rsid w:val="00BA1AC6"/>
    <w:rsid w:val="00BA29B5"/>
    <w:rsid w:val="00BA7F47"/>
    <w:rsid w:val="00BB1CFF"/>
    <w:rsid w:val="00BB59A8"/>
    <w:rsid w:val="00BC2D64"/>
    <w:rsid w:val="00BE2402"/>
    <w:rsid w:val="00BE4E60"/>
    <w:rsid w:val="00BE5C9A"/>
    <w:rsid w:val="00BF083E"/>
    <w:rsid w:val="00BF13E1"/>
    <w:rsid w:val="00BF43ED"/>
    <w:rsid w:val="00C01D97"/>
    <w:rsid w:val="00C05CB5"/>
    <w:rsid w:val="00C06F32"/>
    <w:rsid w:val="00C17BD0"/>
    <w:rsid w:val="00C34405"/>
    <w:rsid w:val="00C37601"/>
    <w:rsid w:val="00C43994"/>
    <w:rsid w:val="00C46DAD"/>
    <w:rsid w:val="00C47F28"/>
    <w:rsid w:val="00C52AC7"/>
    <w:rsid w:val="00C53D96"/>
    <w:rsid w:val="00C55B01"/>
    <w:rsid w:val="00C56091"/>
    <w:rsid w:val="00C674CA"/>
    <w:rsid w:val="00C67FF2"/>
    <w:rsid w:val="00C70084"/>
    <w:rsid w:val="00C7160A"/>
    <w:rsid w:val="00C77082"/>
    <w:rsid w:val="00C86746"/>
    <w:rsid w:val="00C92CC9"/>
    <w:rsid w:val="00C92FB4"/>
    <w:rsid w:val="00C94300"/>
    <w:rsid w:val="00CA11FF"/>
    <w:rsid w:val="00CA54FE"/>
    <w:rsid w:val="00CA5788"/>
    <w:rsid w:val="00CB2937"/>
    <w:rsid w:val="00CB6F2B"/>
    <w:rsid w:val="00CB7AD4"/>
    <w:rsid w:val="00CB7ADA"/>
    <w:rsid w:val="00CC3ADF"/>
    <w:rsid w:val="00CC55DD"/>
    <w:rsid w:val="00CC6663"/>
    <w:rsid w:val="00CD6B75"/>
    <w:rsid w:val="00CE0A2A"/>
    <w:rsid w:val="00CE3D4D"/>
    <w:rsid w:val="00CF1E21"/>
    <w:rsid w:val="00CF2A64"/>
    <w:rsid w:val="00CF53E2"/>
    <w:rsid w:val="00D14BA1"/>
    <w:rsid w:val="00D23B9E"/>
    <w:rsid w:val="00D35444"/>
    <w:rsid w:val="00D4226E"/>
    <w:rsid w:val="00D50950"/>
    <w:rsid w:val="00D50BA9"/>
    <w:rsid w:val="00D62831"/>
    <w:rsid w:val="00D7579B"/>
    <w:rsid w:val="00D87A20"/>
    <w:rsid w:val="00D93C8B"/>
    <w:rsid w:val="00DB3FC0"/>
    <w:rsid w:val="00DB71AF"/>
    <w:rsid w:val="00DB7D16"/>
    <w:rsid w:val="00DC107A"/>
    <w:rsid w:val="00DC4911"/>
    <w:rsid w:val="00DC673D"/>
    <w:rsid w:val="00DD7602"/>
    <w:rsid w:val="00DF4A84"/>
    <w:rsid w:val="00E0272E"/>
    <w:rsid w:val="00E06232"/>
    <w:rsid w:val="00E12006"/>
    <w:rsid w:val="00E211FB"/>
    <w:rsid w:val="00E276A0"/>
    <w:rsid w:val="00E33C1C"/>
    <w:rsid w:val="00E41917"/>
    <w:rsid w:val="00E43D56"/>
    <w:rsid w:val="00E441DD"/>
    <w:rsid w:val="00E47293"/>
    <w:rsid w:val="00E90217"/>
    <w:rsid w:val="00E92E89"/>
    <w:rsid w:val="00EB003F"/>
    <w:rsid w:val="00EB0C85"/>
    <w:rsid w:val="00EB2E30"/>
    <w:rsid w:val="00EC5B7F"/>
    <w:rsid w:val="00ED3165"/>
    <w:rsid w:val="00EE2791"/>
    <w:rsid w:val="00EE6147"/>
    <w:rsid w:val="00EF5856"/>
    <w:rsid w:val="00F00D10"/>
    <w:rsid w:val="00F00DC9"/>
    <w:rsid w:val="00F01C22"/>
    <w:rsid w:val="00F01C5C"/>
    <w:rsid w:val="00F05A42"/>
    <w:rsid w:val="00F10ED9"/>
    <w:rsid w:val="00F204D5"/>
    <w:rsid w:val="00F23297"/>
    <w:rsid w:val="00F262C9"/>
    <w:rsid w:val="00F279E1"/>
    <w:rsid w:val="00F31474"/>
    <w:rsid w:val="00F358C7"/>
    <w:rsid w:val="00F52E19"/>
    <w:rsid w:val="00F6463E"/>
    <w:rsid w:val="00F6744E"/>
    <w:rsid w:val="00F717B4"/>
    <w:rsid w:val="00F735A1"/>
    <w:rsid w:val="00F737D0"/>
    <w:rsid w:val="00F7626B"/>
    <w:rsid w:val="00F77545"/>
    <w:rsid w:val="00F77F09"/>
    <w:rsid w:val="00F82AA6"/>
    <w:rsid w:val="00F83BEC"/>
    <w:rsid w:val="00F83CD8"/>
    <w:rsid w:val="00F93E87"/>
    <w:rsid w:val="00F973B0"/>
    <w:rsid w:val="00FA25D8"/>
    <w:rsid w:val="00FA3C75"/>
    <w:rsid w:val="00FA4780"/>
    <w:rsid w:val="00FA5739"/>
    <w:rsid w:val="00FB0FEB"/>
    <w:rsid w:val="00FB561C"/>
    <w:rsid w:val="00FB6287"/>
    <w:rsid w:val="00FC3072"/>
    <w:rsid w:val="00FC456E"/>
    <w:rsid w:val="00FC6876"/>
    <w:rsid w:val="00FD697C"/>
    <w:rsid w:val="00FD7B71"/>
    <w:rsid w:val="00FE3BE1"/>
    <w:rsid w:val="00FE4909"/>
    <w:rsid w:val="00FE696A"/>
    <w:rsid w:val="00FF27F1"/>
    <w:rsid w:val="00FF3953"/>
    <w:rsid w:val="00FF64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5136F"/>
  <w15:docId w15:val="{B52D9434-959B-44E7-A5CF-ABB55F08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4B40"/>
    <w:pPr>
      <w:ind w:left="720"/>
      <w:contextualSpacing/>
    </w:pPr>
  </w:style>
  <w:style w:type="paragraph" w:styleId="Textedebulles">
    <w:name w:val="Balloon Text"/>
    <w:basedOn w:val="Normal"/>
    <w:link w:val="TextedebullesCar"/>
    <w:uiPriority w:val="99"/>
    <w:semiHidden/>
    <w:unhideWhenUsed/>
    <w:rsid w:val="007368BB"/>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368BB"/>
    <w:rPr>
      <w:rFonts w:ascii="Times New Roman" w:hAnsi="Times New Roman" w:cs="Times New Roman"/>
      <w:sz w:val="18"/>
      <w:szCs w:val="18"/>
    </w:rPr>
  </w:style>
  <w:style w:type="table" w:styleId="Grilledutableau">
    <w:name w:val="Table Grid"/>
    <w:basedOn w:val="TableauNormal"/>
    <w:uiPriority w:val="39"/>
    <w:rsid w:val="007368B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934FE"/>
    <w:rPr>
      <w:sz w:val="18"/>
      <w:szCs w:val="18"/>
    </w:rPr>
  </w:style>
  <w:style w:type="paragraph" w:styleId="Commentaire">
    <w:name w:val="annotation text"/>
    <w:basedOn w:val="Normal"/>
    <w:link w:val="CommentaireCar"/>
    <w:uiPriority w:val="99"/>
    <w:unhideWhenUsed/>
    <w:rsid w:val="008934FE"/>
    <w:pPr>
      <w:spacing w:line="240" w:lineRule="auto"/>
    </w:pPr>
    <w:rPr>
      <w:sz w:val="24"/>
      <w:szCs w:val="24"/>
    </w:rPr>
  </w:style>
  <w:style w:type="character" w:customStyle="1" w:styleId="CommentaireCar">
    <w:name w:val="Commentaire Car"/>
    <w:basedOn w:val="Policepardfaut"/>
    <w:link w:val="Commentaire"/>
    <w:uiPriority w:val="99"/>
    <w:rsid w:val="008934FE"/>
    <w:rPr>
      <w:sz w:val="24"/>
      <w:szCs w:val="24"/>
    </w:rPr>
  </w:style>
  <w:style w:type="paragraph" w:styleId="Objetducommentaire">
    <w:name w:val="annotation subject"/>
    <w:basedOn w:val="Commentaire"/>
    <w:next w:val="Commentaire"/>
    <w:link w:val="ObjetducommentaireCar"/>
    <w:uiPriority w:val="99"/>
    <w:semiHidden/>
    <w:unhideWhenUsed/>
    <w:rsid w:val="008934FE"/>
    <w:rPr>
      <w:b/>
      <w:bCs/>
      <w:sz w:val="20"/>
      <w:szCs w:val="20"/>
    </w:rPr>
  </w:style>
  <w:style w:type="character" w:customStyle="1" w:styleId="ObjetducommentaireCar">
    <w:name w:val="Objet du commentaire Car"/>
    <w:basedOn w:val="CommentaireCar"/>
    <w:link w:val="Objetducommentaire"/>
    <w:uiPriority w:val="99"/>
    <w:semiHidden/>
    <w:rsid w:val="008934FE"/>
    <w:rPr>
      <w:b/>
      <w:bCs/>
      <w:sz w:val="20"/>
      <w:szCs w:val="20"/>
    </w:rPr>
  </w:style>
  <w:style w:type="paragraph" w:styleId="Rvision">
    <w:name w:val="Revision"/>
    <w:hidden/>
    <w:uiPriority w:val="99"/>
    <w:semiHidden/>
    <w:rsid w:val="001E2B38"/>
    <w:pPr>
      <w:spacing w:after="0" w:line="240" w:lineRule="auto"/>
    </w:pPr>
  </w:style>
  <w:style w:type="character" w:styleId="Lienhypertexte">
    <w:name w:val="Hyperlink"/>
    <w:basedOn w:val="Policepardfaut"/>
    <w:uiPriority w:val="99"/>
    <w:unhideWhenUsed/>
    <w:rsid w:val="00D35444"/>
    <w:rPr>
      <w:color w:val="0563C1" w:themeColor="hyperlink"/>
      <w:u w:val="single"/>
    </w:rPr>
  </w:style>
  <w:style w:type="paragraph" w:styleId="Pieddepage">
    <w:name w:val="footer"/>
    <w:basedOn w:val="Normal"/>
    <w:link w:val="PieddepageCar"/>
    <w:uiPriority w:val="99"/>
    <w:unhideWhenUsed/>
    <w:rsid w:val="00C770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7082"/>
  </w:style>
  <w:style w:type="character" w:styleId="Numrodepage">
    <w:name w:val="page number"/>
    <w:basedOn w:val="Policepardfaut"/>
    <w:uiPriority w:val="99"/>
    <w:semiHidden/>
    <w:unhideWhenUsed/>
    <w:rsid w:val="00C77082"/>
  </w:style>
  <w:style w:type="character" w:styleId="Lienhypertextesuivivisit">
    <w:name w:val="FollowedHyperlink"/>
    <w:basedOn w:val="Policepardfaut"/>
    <w:uiPriority w:val="99"/>
    <w:semiHidden/>
    <w:unhideWhenUsed/>
    <w:rsid w:val="004172FD"/>
    <w:rPr>
      <w:color w:val="954F72" w:themeColor="followedHyperlink"/>
      <w:u w:val="single"/>
    </w:rPr>
  </w:style>
  <w:style w:type="paragraph" w:styleId="PrformatHTML">
    <w:name w:val="HTML Preformatted"/>
    <w:basedOn w:val="Normal"/>
    <w:link w:val="PrformatHTMLCar"/>
    <w:uiPriority w:val="99"/>
    <w:semiHidden/>
    <w:unhideWhenUsed/>
    <w:rsid w:val="00C7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semiHidden/>
    <w:rsid w:val="00C7160A"/>
    <w:rPr>
      <w:rFonts w:ascii="Courier New"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765">
      <w:bodyDiv w:val="1"/>
      <w:marLeft w:val="0"/>
      <w:marRight w:val="0"/>
      <w:marTop w:val="0"/>
      <w:marBottom w:val="0"/>
      <w:divBdr>
        <w:top w:val="none" w:sz="0" w:space="0" w:color="auto"/>
        <w:left w:val="none" w:sz="0" w:space="0" w:color="auto"/>
        <w:bottom w:val="none" w:sz="0" w:space="0" w:color="auto"/>
        <w:right w:val="none" w:sz="0" w:space="0" w:color="auto"/>
      </w:divBdr>
    </w:div>
    <w:div w:id="126985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lorian.ouitre@unicaen.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5579</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ESPE</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DOUSSOT</dc:creator>
  <cp:keywords/>
  <dc:description/>
  <cp:lastModifiedBy>Virginie Gadoum</cp:lastModifiedBy>
  <cp:revision>2</cp:revision>
  <dcterms:created xsi:type="dcterms:W3CDTF">2018-03-26T07:22:00Z</dcterms:created>
  <dcterms:modified xsi:type="dcterms:W3CDTF">2018-03-26T07:22:00Z</dcterms:modified>
</cp:coreProperties>
</file>